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9BCB2" w14:textId="77777777" w:rsidR="00E21144" w:rsidRDefault="00E21144" w:rsidP="00E21144">
      <w:pPr>
        <w:rPr>
          <w:rFonts w:ascii="Arial" w:hAnsi="Arial" w:cs="Arial"/>
          <w:sz w:val="20"/>
          <w:szCs w:val="20"/>
        </w:rPr>
      </w:pPr>
    </w:p>
    <w:p w14:paraId="5DB8F186" w14:textId="77777777" w:rsidR="002A201A" w:rsidRPr="00FE0894" w:rsidRDefault="002A201A" w:rsidP="002A201A">
      <w:pPr>
        <w:ind w:left="708" w:firstLine="708"/>
        <w:rPr>
          <w:rFonts w:ascii="Calibri" w:hAnsi="Calibri" w:cs="Arial"/>
          <w:b/>
          <w:sz w:val="28"/>
          <w:szCs w:val="28"/>
        </w:rPr>
      </w:pPr>
      <w:r w:rsidRPr="00FE0894">
        <w:rPr>
          <w:rFonts w:ascii="Calibri" w:hAnsi="Calibri" w:cs="Arial"/>
          <w:b/>
          <w:color w:val="000000"/>
          <w:sz w:val="28"/>
          <w:szCs w:val="28"/>
        </w:rPr>
        <w:t>« </w:t>
      </w:r>
      <w:r w:rsidR="0015229D" w:rsidRPr="00FE0894">
        <w:rPr>
          <w:rFonts w:ascii="Calibri" w:hAnsi="Calibri" w:cs="Arial"/>
          <w:b/>
          <w:color w:val="000000"/>
          <w:sz w:val="28"/>
          <w:szCs w:val="28"/>
        </w:rPr>
        <w:t>COMPTE RENDU RELATIF AUX FRAIS D'INTERMEDIATION</w:t>
      </w:r>
      <w:r w:rsidR="0015229D">
        <w:rPr>
          <w:rFonts w:ascii="Calibri" w:hAnsi="Calibri" w:cs="Arial"/>
          <w:b/>
          <w:color w:val="000000"/>
          <w:sz w:val="28"/>
          <w:szCs w:val="28"/>
        </w:rPr>
        <w:t> »</w:t>
      </w:r>
    </w:p>
    <w:p w14:paraId="1B167B12" w14:textId="77777777" w:rsidR="002A201A" w:rsidRPr="00FE0894" w:rsidRDefault="002A201A" w:rsidP="00182425">
      <w:pPr>
        <w:tabs>
          <w:tab w:val="left" w:pos="426"/>
        </w:tabs>
        <w:rPr>
          <w:rFonts w:ascii="Calibri" w:hAnsi="Calibri" w:cs="Arial"/>
          <w:b/>
          <w:sz w:val="28"/>
          <w:szCs w:val="28"/>
        </w:rPr>
      </w:pPr>
    </w:p>
    <w:p w14:paraId="487C2FC4" w14:textId="7B995BA4" w:rsidR="002A201A" w:rsidRPr="00FE0894" w:rsidRDefault="002A201A" w:rsidP="002A201A">
      <w:pPr>
        <w:jc w:val="center"/>
        <w:rPr>
          <w:rFonts w:ascii="Calibri" w:hAnsi="Calibri" w:cs="Arial"/>
          <w:b/>
          <w:sz w:val="28"/>
          <w:szCs w:val="28"/>
        </w:rPr>
      </w:pPr>
      <w:r w:rsidRPr="00FE0894">
        <w:rPr>
          <w:rFonts w:ascii="Calibri" w:hAnsi="Calibri" w:cs="Arial"/>
          <w:b/>
          <w:sz w:val="28"/>
          <w:szCs w:val="28"/>
        </w:rPr>
        <w:t>Exercice</w:t>
      </w:r>
      <w:r w:rsidR="00931637">
        <w:rPr>
          <w:rFonts w:ascii="Calibri" w:hAnsi="Calibri" w:cs="Arial"/>
          <w:b/>
          <w:sz w:val="28"/>
          <w:szCs w:val="28"/>
        </w:rPr>
        <w:t xml:space="preserve"> 2024</w:t>
      </w:r>
    </w:p>
    <w:p w14:paraId="5F413DF4" w14:textId="77777777" w:rsidR="002A201A" w:rsidRPr="0036707C" w:rsidRDefault="002A201A" w:rsidP="002A201A">
      <w:pPr>
        <w:rPr>
          <w:rFonts w:ascii="Calibri" w:hAnsi="Calibri" w:cs="Arial"/>
          <w:sz w:val="20"/>
          <w:szCs w:val="20"/>
        </w:rPr>
      </w:pPr>
    </w:p>
    <w:p w14:paraId="64F2ABFB" w14:textId="77777777" w:rsidR="002A201A" w:rsidRDefault="002A201A" w:rsidP="002A201A">
      <w:pPr>
        <w:rPr>
          <w:rFonts w:ascii="Calibri" w:hAnsi="Calibri" w:cs="Arial"/>
          <w:sz w:val="20"/>
          <w:szCs w:val="20"/>
          <w:u w:val="single"/>
        </w:rPr>
      </w:pPr>
    </w:p>
    <w:p w14:paraId="4CBC9D11" w14:textId="77777777" w:rsidR="002A201A" w:rsidRPr="0036707C" w:rsidRDefault="002A201A" w:rsidP="002A201A">
      <w:pPr>
        <w:rPr>
          <w:rFonts w:ascii="Calibri" w:hAnsi="Calibri" w:cs="Arial"/>
          <w:sz w:val="20"/>
          <w:szCs w:val="20"/>
          <w:u w:val="single"/>
        </w:rPr>
      </w:pPr>
    </w:p>
    <w:p w14:paraId="7AE269B1" w14:textId="77777777" w:rsidR="001C20BE" w:rsidRPr="0046115F" w:rsidRDefault="001C20BE" w:rsidP="001C20BE">
      <w:pPr>
        <w:rPr>
          <w:rFonts w:ascii="Arial" w:hAnsi="Arial" w:cs="Arial"/>
          <w:sz w:val="20"/>
          <w:szCs w:val="20"/>
        </w:rPr>
      </w:pPr>
      <w:r w:rsidRPr="0046115F">
        <w:rPr>
          <w:rFonts w:ascii="Arial" w:hAnsi="Arial" w:cs="Arial"/>
          <w:sz w:val="20"/>
          <w:szCs w:val="20"/>
          <w:u w:val="single"/>
        </w:rPr>
        <w:t>Préambule rappel</w:t>
      </w:r>
      <w:r w:rsidRPr="0046115F">
        <w:rPr>
          <w:rFonts w:ascii="Arial" w:hAnsi="Arial" w:cs="Arial"/>
          <w:sz w:val="20"/>
          <w:szCs w:val="20"/>
        </w:rPr>
        <w:t> :</w:t>
      </w:r>
    </w:p>
    <w:p w14:paraId="5AFDA74E" w14:textId="77777777" w:rsidR="001C20BE" w:rsidRPr="0046115F" w:rsidRDefault="001C20BE" w:rsidP="001C20BE">
      <w:pPr>
        <w:rPr>
          <w:rFonts w:ascii="Arial" w:hAnsi="Arial" w:cs="Arial"/>
          <w:sz w:val="20"/>
          <w:szCs w:val="20"/>
        </w:rPr>
      </w:pPr>
    </w:p>
    <w:p w14:paraId="50084CDA" w14:textId="77777777" w:rsidR="001C20BE" w:rsidRPr="0046115F" w:rsidRDefault="001C20BE" w:rsidP="001C20BE">
      <w:pPr>
        <w:rPr>
          <w:rFonts w:ascii="Arial" w:hAnsi="Arial" w:cs="Arial"/>
          <w:sz w:val="20"/>
          <w:szCs w:val="20"/>
        </w:rPr>
      </w:pPr>
      <w:r w:rsidRPr="0046115F">
        <w:rPr>
          <w:rFonts w:ascii="Arial" w:hAnsi="Arial" w:cs="Arial"/>
          <w:sz w:val="20"/>
          <w:szCs w:val="20"/>
        </w:rPr>
        <w:t>GEFIP a défini une procédure pour :</w:t>
      </w:r>
    </w:p>
    <w:p w14:paraId="69792826" w14:textId="77777777" w:rsidR="001C20BE" w:rsidRPr="0046115F" w:rsidRDefault="001C20BE" w:rsidP="001C20BE">
      <w:pPr>
        <w:rPr>
          <w:rFonts w:ascii="Arial" w:hAnsi="Arial" w:cs="Arial"/>
          <w:sz w:val="20"/>
          <w:szCs w:val="20"/>
        </w:rPr>
      </w:pPr>
    </w:p>
    <w:p w14:paraId="68063BA7" w14:textId="77777777" w:rsidR="001C20BE" w:rsidRPr="0046115F" w:rsidRDefault="001C20BE" w:rsidP="001C20BE">
      <w:pPr>
        <w:rPr>
          <w:rFonts w:ascii="Arial" w:hAnsi="Arial" w:cs="Arial"/>
          <w:sz w:val="20"/>
          <w:szCs w:val="20"/>
        </w:rPr>
      </w:pPr>
      <w:r w:rsidRPr="0046115F">
        <w:rPr>
          <w:rFonts w:ascii="Arial" w:hAnsi="Arial" w:cs="Arial"/>
          <w:sz w:val="20"/>
          <w:szCs w:val="20"/>
        </w:rPr>
        <w:t>1/ déterminer le choix des brokers,</w:t>
      </w:r>
      <w:r>
        <w:rPr>
          <w:rFonts w:ascii="Arial" w:hAnsi="Arial" w:cs="Arial"/>
          <w:sz w:val="20"/>
          <w:szCs w:val="20"/>
        </w:rPr>
        <w:t xml:space="preserve"> des contreparties,</w:t>
      </w:r>
    </w:p>
    <w:p w14:paraId="522B6D8D" w14:textId="77777777" w:rsidR="001C20BE" w:rsidRPr="0046115F" w:rsidRDefault="001C20BE" w:rsidP="001C20BE">
      <w:pPr>
        <w:rPr>
          <w:rFonts w:ascii="Arial" w:hAnsi="Arial" w:cs="Arial"/>
          <w:sz w:val="20"/>
          <w:szCs w:val="20"/>
        </w:rPr>
      </w:pPr>
      <w:r w:rsidRPr="0046115F">
        <w:rPr>
          <w:rFonts w:ascii="Arial" w:hAnsi="Arial" w:cs="Arial"/>
          <w:sz w:val="20"/>
          <w:szCs w:val="20"/>
        </w:rPr>
        <w:t>2/ s’assurer de la qualité de leurs prestations,</w:t>
      </w:r>
    </w:p>
    <w:p w14:paraId="6716AC09" w14:textId="77777777" w:rsidR="001C20BE" w:rsidRPr="0046115F" w:rsidRDefault="001C20BE" w:rsidP="001C20BE">
      <w:pPr>
        <w:rPr>
          <w:rFonts w:ascii="Arial" w:hAnsi="Arial" w:cs="Arial"/>
          <w:sz w:val="20"/>
          <w:szCs w:val="20"/>
        </w:rPr>
      </w:pPr>
    </w:p>
    <w:p w14:paraId="6BD2D219" w14:textId="77777777" w:rsidR="001C20BE" w:rsidRPr="0046115F" w:rsidRDefault="001C20BE" w:rsidP="001C20BE">
      <w:pPr>
        <w:rPr>
          <w:rFonts w:ascii="Arial" w:hAnsi="Arial" w:cs="Arial"/>
          <w:sz w:val="20"/>
          <w:szCs w:val="20"/>
        </w:rPr>
      </w:pPr>
      <w:r w:rsidRPr="0046115F">
        <w:rPr>
          <w:rFonts w:ascii="Arial" w:hAnsi="Arial" w:cs="Arial"/>
          <w:sz w:val="20"/>
          <w:szCs w:val="20"/>
        </w:rPr>
        <w:t>La Best exécution est une garantie qui doit être donnée par les brokers en retenant que G</w:t>
      </w:r>
      <w:r>
        <w:rPr>
          <w:rFonts w:ascii="Arial" w:hAnsi="Arial" w:cs="Arial"/>
          <w:sz w:val="20"/>
          <w:szCs w:val="20"/>
        </w:rPr>
        <w:t>EFIP</w:t>
      </w:r>
      <w:r w:rsidRPr="0046115F">
        <w:rPr>
          <w:rFonts w:ascii="Arial" w:hAnsi="Arial" w:cs="Arial"/>
          <w:sz w:val="20"/>
          <w:szCs w:val="20"/>
        </w:rPr>
        <w:t xml:space="preserve"> doit être classé en client professionnel au sens de la MIF. Néanmoins, ces choix sont guidés par des raisons précises au premier rang desquelles se situent :</w:t>
      </w:r>
    </w:p>
    <w:p w14:paraId="11D2FA74" w14:textId="77777777" w:rsidR="001C20BE" w:rsidRPr="0046115F" w:rsidRDefault="001C20BE" w:rsidP="001C20BE">
      <w:pPr>
        <w:rPr>
          <w:rFonts w:ascii="Arial" w:hAnsi="Arial" w:cs="Arial"/>
          <w:sz w:val="20"/>
          <w:szCs w:val="20"/>
        </w:rPr>
      </w:pPr>
    </w:p>
    <w:p w14:paraId="65DEE0DF" w14:textId="77777777" w:rsidR="001C20BE" w:rsidRPr="0046115F" w:rsidRDefault="001C20BE" w:rsidP="001C20BE">
      <w:pPr>
        <w:rPr>
          <w:rFonts w:ascii="Arial" w:hAnsi="Arial" w:cs="Arial"/>
          <w:sz w:val="20"/>
          <w:szCs w:val="20"/>
        </w:rPr>
      </w:pPr>
      <w:r w:rsidRPr="0046115F">
        <w:rPr>
          <w:rFonts w:ascii="Arial" w:hAnsi="Arial" w:cs="Arial"/>
          <w:sz w:val="20"/>
          <w:szCs w:val="20"/>
        </w:rPr>
        <w:t>1/ L’ancienneté du broker et la stabilité des relations avec G</w:t>
      </w:r>
      <w:r>
        <w:rPr>
          <w:rFonts w:ascii="Arial" w:hAnsi="Arial" w:cs="Arial"/>
          <w:sz w:val="20"/>
          <w:szCs w:val="20"/>
        </w:rPr>
        <w:t>EFIP</w:t>
      </w:r>
    </w:p>
    <w:p w14:paraId="3265B5B6" w14:textId="77777777" w:rsidR="001C20BE" w:rsidRPr="0046115F" w:rsidRDefault="001C20BE" w:rsidP="001C20BE">
      <w:pPr>
        <w:rPr>
          <w:rFonts w:ascii="Arial" w:hAnsi="Arial" w:cs="Arial"/>
          <w:sz w:val="20"/>
          <w:szCs w:val="20"/>
        </w:rPr>
      </w:pPr>
      <w:r w:rsidRPr="0046115F">
        <w:rPr>
          <w:rFonts w:ascii="Arial" w:hAnsi="Arial" w:cs="Arial"/>
          <w:sz w:val="20"/>
          <w:szCs w:val="20"/>
        </w:rPr>
        <w:t>2/ L’étendue de la couverture et la qualité de la recherche sur la zone géographique définie,</w:t>
      </w:r>
    </w:p>
    <w:p w14:paraId="02F8D3C6" w14:textId="77777777" w:rsidR="001C20BE" w:rsidRPr="0046115F" w:rsidRDefault="001C20BE" w:rsidP="001C20BE">
      <w:pPr>
        <w:rPr>
          <w:rFonts w:ascii="Arial" w:hAnsi="Arial" w:cs="Arial"/>
          <w:sz w:val="20"/>
          <w:szCs w:val="20"/>
        </w:rPr>
      </w:pPr>
    </w:p>
    <w:p w14:paraId="1EE0FF70" w14:textId="77777777" w:rsidR="001C20BE" w:rsidRPr="0046115F" w:rsidRDefault="001C20BE" w:rsidP="001C20BE">
      <w:pPr>
        <w:rPr>
          <w:rFonts w:ascii="Arial" w:hAnsi="Arial" w:cs="Arial"/>
          <w:sz w:val="20"/>
          <w:szCs w:val="20"/>
        </w:rPr>
      </w:pPr>
      <w:r w:rsidRPr="0046115F">
        <w:rPr>
          <w:rFonts w:ascii="Arial" w:hAnsi="Arial" w:cs="Arial"/>
          <w:sz w:val="20"/>
          <w:szCs w:val="20"/>
        </w:rPr>
        <w:t>La liste des brokers autorisés avec leur spécialisation par type de gestion, par type d’actifs et par zone géographique,</w:t>
      </w:r>
      <w:r>
        <w:rPr>
          <w:rFonts w:ascii="Arial" w:hAnsi="Arial" w:cs="Arial"/>
          <w:sz w:val="20"/>
          <w:szCs w:val="20"/>
        </w:rPr>
        <w:t xml:space="preserve"> figure dans le tableau en annexe 1</w:t>
      </w:r>
      <w:r w:rsidRPr="0046115F">
        <w:rPr>
          <w:rFonts w:ascii="Arial" w:hAnsi="Arial" w:cs="Arial"/>
          <w:sz w:val="20"/>
          <w:szCs w:val="20"/>
        </w:rPr>
        <w:t xml:space="preserve">. Les rapports avec ces brokers font l’objet d’un compte rendu régulier au comité de gestion. </w:t>
      </w:r>
    </w:p>
    <w:p w14:paraId="38B4417C" w14:textId="77777777" w:rsidR="001C20BE" w:rsidRPr="0046115F" w:rsidRDefault="001C20BE" w:rsidP="001C20BE">
      <w:pPr>
        <w:rPr>
          <w:rFonts w:ascii="Arial" w:hAnsi="Arial" w:cs="Arial"/>
          <w:sz w:val="20"/>
          <w:szCs w:val="20"/>
        </w:rPr>
      </w:pPr>
    </w:p>
    <w:p w14:paraId="7640FBB3" w14:textId="77777777" w:rsidR="001C20BE" w:rsidRPr="0046115F" w:rsidRDefault="001C20BE" w:rsidP="001C20BE">
      <w:pPr>
        <w:rPr>
          <w:rFonts w:ascii="Arial" w:hAnsi="Arial" w:cs="Arial"/>
          <w:sz w:val="20"/>
          <w:szCs w:val="20"/>
        </w:rPr>
      </w:pPr>
      <w:r w:rsidRPr="0046115F">
        <w:rPr>
          <w:rFonts w:ascii="Arial" w:hAnsi="Arial" w:cs="Arial"/>
          <w:sz w:val="20"/>
          <w:szCs w:val="20"/>
          <w:u w:val="single"/>
        </w:rPr>
        <w:t>Plus particulièrement</w:t>
      </w:r>
      <w:r w:rsidRPr="0046115F">
        <w:rPr>
          <w:rFonts w:ascii="Arial" w:hAnsi="Arial" w:cs="Arial"/>
          <w:sz w:val="20"/>
          <w:szCs w:val="20"/>
        </w:rPr>
        <w:t> :</w:t>
      </w:r>
    </w:p>
    <w:p w14:paraId="3604F112" w14:textId="77777777" w:rsidR="001C20BE" w:rsidRPr="0046115F" w:rsidRDefault="001C20BE" w:rsidP="001C20BE">
      <w:pPr>
        <w:rPr>
          <w:rFonts w:ascii="Arial" w:hAnsi="Arial" w:cs="Arial"/>
          <w:sz w:val="20"/>
          <w:szCs w:val="20"/>
        </w:rPr>
      </w:pPr>
    </w:p>
    <w:p w14:paraId="76A120DE" w14:textId="77777777" w:rsidR="001C20BE" w:rsidRPr="0046115F" w:rsidRDefault="001C20BE" w:rsidP="001C20BE">
      <w:pPr>
        <w:rPr>
          <w:rFonts w:ascii="Arial" w:hAnsi="Arial" w:cs="Arial"/>
          <w:sz w:val="20"/>
          <w:szCs w:val="20"/>
        </w:rPr>
      </w:pPr>
      <w:r>
        <w:rPr>
          <w:rFonts w:ascii="Arial" w:hAnsi="Arial" w:cs="Arial"/>
          <w:sz w:val="20"/>
          <w:szCs w:val="20"/>
        </w:rPr>
        <w:t xml:space="preserve">1/ Une analyse ‘post trade’ est effectuée tout au long de l’année pour s’assurer que les meilleures conditions de trading soient réunies pour les porteurs des fonds. </w:t>
      </w:r>
    </w:p>
    <w:p w14:paraId="1E76E2FB" w14:textId="77777777" w:rsidR="001C20BE" w:rsidRPr="0046115F" w:rsidRDefault="001C20BE" w:rsidP="001C20BE">
      <w:pPr>
        <w:rPr>
          <w:rFonts w:ascii="Arial" w:hAnsi="Arial" w:cs="Arial"/>
          <w:sz w:val="20"/>
          <w:szCs w:val="20"/>
        </w:rPr>
      </w:pPr>
    </w:p>
    <w:p w14:paraId="51EE7440" w14:textId="77777777" w:rsidR="001C20BE" w:rsidRDefault="001C20BE" w:rsidP="001C20BE">
      <w:pPr>
        <w:rPr>
          <w:rFonts w:ascii="Arial" w:hAnsi="Arial" w:cs="Arial"/>
          <w:sz w:val="20"/>
          <w:szCs w:val="20"/>
        </w:rPr>
      </w:pPr>
      <w:r w:rsidRPr="0046115F">
        <w:rPr>
          <w:rFonts w:ascii="Arial" w:hAnsi="Arial" w:cs="Arial"/>
          <w:sz w:val="20"/>
          <w:szCs w:val="20"/>
        </w:rPr>
        <w:t>2/ Toute décision d’abandon d’un broker et le choix d’un nouveau broker doit faire l’objet d’une justification écrite et doit être approuvée par le RCCI. La liste des intermédiaires autorisés à traiter pour le compte des fonds GEFIP se trouve en annexe</w:t>
      </w:r>
      <w:r>
        <w:rPr>
          <w:rFonts w:ascii="Arial" w:hAnsi="Arial" w:cs="Arial"/>
          <w:sz w:val="20"/>
          <w:szCs w:val="20"/>
        </w:rPr>
        <w:t xml:space="preserve"> 1</w:t>
      </w:r>
      <w:r w:rsidRPr="0046115F">
        <w:rPr>
          <w:rFonts w:ascii="Arial" w:hAnsi="Arial" w:cs="Arial"/>
          <w:sz w:val="20"/>
          <w:szCs w:val="20"/>
        </w:rPr>
        <w:t>.</w:t>
      </w:r>
    </w:p>
    <w:p w14:paraId="43EE9683" w14:textId="77777777" w:rsidR="001C20BE" w:rsidRDefault="001C20BE" w:rsidP="001C20BE">
      <w:pPr>
        <w:rPr>
          <w:rFonts w:ascii="Arial" w:hAnsi="Arial" w:cs="Arial"/>
          <w:b/>
          <w:sz w:val="20"/>
          <w:szCs w:val="20"/>
        </w:rPr>
      </w:pPr>
    </w:p>
    <w:p w14:paraId="33110292" w14:textId="33BF09E4" w:rsidR="001C20BE" w:rsidRDefault="001C20BE" w:rsidP="001C20BE">
      <w:pPr>
        <w:rPr>
          <w:rFonts w:ascii="Arial" w:hAnsi="Arial" w:cs="Arial"/>
          <w:b/>
          <w:sz w:val="20"/>
          <w:szCs w:val="20"/>
        </w:rPr>
      </w:pPr>
      <w:r w:rsidRPr="0046115F">
        <w:rPr>
          <w:rFonts w:ascii="Arial" w:hAnsi="Arial" w:cs="Arial"/>
          <w:b/>
          <w:sz w:val="20"/>
          <w:szCs w:val="20"/>
        </w:rPr>
        <w:t>I - Activité actions en 20</w:t>
      </w:r>
      <w:r w:rsidR="00A96518">
        <w:rPr>
          <w:rFonts w:ascii="Arial" w:hAnsi="Arial" w:cs="Arial"/>
          <w:b/>
          <w:sz w:val="20"/>
          <w:szCs w:val="20"/>
        </w:rPr>
        <w:t>2</w:t>
      </w:r>
      <w:r w:rsidR="00931637">
        <w:rPr>
          <w:rFonts w:ascii="Arial" w:hAnsi="Arial" w:cs="Arial"/>
          <w:b/>
          <w:sz w:val="20"/>
          <w:szCs w:val="20"/>
        </w:rPr>
        <w:t>4</w:t>
      </w:r>
      <w:r w:rsidRPr="0046115F">
        <w:rPr>
          <w:rFonts w:ascii="Arial" w:hAnsi="Arial" w:cs="Arial"/>
          <w:b/>
          <w:sz w:val="20"/>
          <w:szCs w:val="20"/>
        </w:rPr>
        <w:t> :</w:t>
      </w:r>
    </w:p>
    <w:p w14:paraId="2E9C72DB" w14:textId="77777777" w:rsidR="001C20BE" w:rsidRPr="0046115F" w:rsidRDefault="001C20BE" w:rsidP="001C20BE">
      <w:pPr>
        <w:rPr>
          <w:rFonts w:ascii="Arial" w:hAnsi="Arial" w:cs="Arial"/>
          <w:sz w:val="20"/>
          <w:szCs w:val="20"/>
        </w:rPr>
      </w:pPr>
    </w:p>
    <w:p w14:paraId="6868437C" w14:textId="68370A1F" w:rsidR="001C20BE" w:rsidRPr="0046115F" w:rsidRDefault="001C20BE" w:rsidP="001C20BE">
      <w:pPr>
        <w:rPr>
          <w:rFonts w:ascii="Arial" w:hAnsi="Arial" w:cs="Arial"/>
          <w:sz w:val="20"/>
          <w:szCs w:val="20"/>
        </w:rPr>
      </w:pPr>
      <w:r w:rsidRPr="0046115F">
        <w:rPr>
          <w:rFonts w:ascii="Arial" w:hAnsi="Arial" w:cs="Arial"/>
          <w:sz w:val="20"/>
          <w:szCs w:val="20"/>
        </w:rPr>
        <w:t>1/</w:t>
      </w:r>
      <w:r w:rsidRPr="0046115F">
        <w:rPr>
          <w:rFonts w:ascii="Arial" w:hAnsi="Arial" w:cs="Arial"/>
          <w:b/>
          <w:sz w:val="20"/>
          <w:szCs w:val="20"/>
        </w:rPr>
        <w:t xml:space="preserve"> </w:t>
      </w:r>
      <w:r w:rsidR="00433FD7">
        <w:rPr>
          <w:rFonts w:ascii="Arial" w:hAnsi="Arial" w:cs="Arial"/>
          <w:b/>
          <w:sz w:val="20"/>
          <w:szCs w:val="20"/>
          <w:u w:val="single"/>
        </w:rPr>
        <w:t>Point de référence</w:t>
      </w:r>
      <w:r w:rsidRPr="0046115F">
        <w:rPr>
          <w:rFonts w:ascii="Arial" w:hAnsi="Arial" w:cs="Arial"/>
          <w:b/>
          <w:sz w:val="20"/>
          <w:szCs w:val="20"/>
          <w:u w:val="single"/>
        </w:rPr>
        <w:t xml:space="preserve"> </w:t>
      </w:r>
      <w:r w:rsidR="00433FD7">
        <w:rPr>
          <w:rFonts w:ascii="Arial" w:hAnsi="Arial" w:cs="Arial"/>
          <w:b/>
          <w:sz w:val="20"/>
          <w:szCs w:val="20"/>
          <w:u w:val="single"/>
        </w:rPr>
        <w:t xml:space="preserve">du courtage généré </w:t>
      </w:r>
      <w:r w:rsidRPr="0046115F">
        <w:rPr>
          <w:rFonts w:ascii="Arial" w:hAnsi="Arial" w:cs="Arial"/>
          <w:b/>
          <w:sz w:val="20"/>
          <w:szCs w:val="20"/>
          <w:u w:val="single"/>
        </w:rPr>
        <w:t>sur les marchés actions</w:t>
      </w:r>
      <w:r w:rsidR="001C480B">
        <w:rPr>
          <w:rFonts w:ascii="Arial" w:hAnsi="Arial" w:cs="Arial"/>
          <w:b/>
          <w:sz w:val="20"/>
          <w:szCs w:val="20"/>
          <w:u w:val="single"/>
        </w:rPr>
        <w:t xml:space="preserve"> en </w:t>
      </w:r>
      <w:proofErr w:type="gramStart"/>
      <w:r w:rsidR="001C480B">
        <w:rPr>
          <w:rFonts w:ascii="Arial" w:hAnsi="Arial" w:cs="Arial"/>
          <w:b/>
          <w:sz w:val="20"/>
          <w:szCs w:val="20"/>
          <w:u w:val="single"/>
        </w:rPr>
        <w:t>202</w:t>
      </w:r>
      <w:r w:rsidR="003E0B37">
        <w:rPr>
          <w:rFonts w:ascii="Arial" w:hAnsi="Arial" w:cs="Arial"/>
          <w:b/>
          <w:sz w:val="20"/>
          <w:szCs w:val="20"/>
          <w:u w:val="single"/>
        </w:rPr>
        <w:t>4</w:t>
      </w:r>
      <w:r w:rsidRPr="0046115F">
        <w:rPr>
          <w:rFonts w:ascii="Arial" w:hAnsi="Arial" w:cs="Arial"/>
          <w:sz w:val="20"/>
          <w:szCs w:val="20"/>
          <w:u w:val="single"/>
        </w:rPr>
        <w:t>:</w:t>
      </w:r>
      <w:proofErr w:type="gramEnd"/>
    </w:p>
    <w:p w14:paraId="12BF8A6E" w14:textId="0415523E" w:rsidR="001C20BE" w:rsidRPr="0046115F" w:rsidRDefault="001C20BE" w:rsidP="00866154">
      <w:pPr>
        <w:rPr>
          <w:rFonts w:ascii="Arial" w:hAnsi="Arial" w:cs="Arial"/>
          <w:sz w:val="20"/>
          <w:szCs w:val="20"/>
        </w:rPr>
      </w:pPr>
    </w:p>
    <w:p w14:paraId="592E56D5" w14:textId="7DDED9E5" w:rsidR="001C20BE" w:rsidRDefault="00B46011" w:rsidP="001C20BE">
      <w:pPr>
        <w:rPr>
          <w:rFonts w:ascii="Arial" w:hAnsi="Arial" w:cs="Arial"/>
          <w:sz w:val="20"/>
          <w:szCs w:val="20"/>
        </w:rPr>
      </w:pPr>
      <w:r w:rsidRPr="00B46011">
        <w:rPr>
          <w:noProof/>
        </w:rPr>
        <w:drawing>
          <wp:inline distT="0" distB="0" distL="0" distR="0" wp14:anchorId="6122CEA3" wp14:editId="137265E5">
            <wp:extent cx="5760720" cy="1879600"/>
            <wp:effectExtent l="0" t="0" r="0" b="6350"/>
            <wp:docPr id="184656081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1879600"/>
                    </a:xfrm>
                    <a:prstGeom prst="rect">
                      <a:avLst/>
                    </a:prstGeom>
                    <a:noFill/>
                    <a:ln>
                      <a:noFill/>
                    </a:ln>
                  </pic:spPr>
                </pic:pic>
              </a:graphicData>
            </a:graphic>
          </wp:inline>
        </w:drawing>
      </w:r>
    </w:p>
    <w:p w14:paraId="4EF21441" w14:textId="37FFEB30" w:rsidR="001C480B" w:rsidRDefault="001C480B" w:rsidP="001C20BE">
      <w:pPr>
        <w:rPr>
          <w:rFonts w:ascii="Arial" w:hAnsi="Arial" w:cs="Arial"/>
          <w:sz w:val="20"/>
          <w:szCs w:val="20"/>
        </w:rPr>
      </w:pPr>
    </w:p>
    <w:p w14:paraId="230C6CE8" w14:textId="77777777" w:rsidR="001C480B" w:rsidRDefault="001C480B" w:rsidP="001C20BE">
      <w:pPr>
        <w:rPr>
          <w:rFonts w:ascii="Arial" w:hAnsi="Arial" w:cs="Arial"/>
          <w:sz w:val="20"/>
          <w:szCs w:val="20"/>
        </w:rPr>
      </w:pPr>
    </w:p>
    <w:p w14:paraId="2EBAB82E" w14:textId="77777777" w:rsidR="001C480B" w:rsidRPr="0046115F" w:rsidRDefault="001C480B" w:rsidP="001C20BE">
      <w:pPr>
        <w:rPr>
          <w:rFonts w:ascii="Arial" w:hAnsi="Arial" w:cs="Arial"/>
          <w:sz w:val="20"/>
          <w:szCs w:val="20"/>
        </w:rPr>
      </w:pPr>
    </w:p>
    <w:p w14:paraId="6FEE67A7" w14:textId="4C388385" w:rsidR="001C480B" w:rsidRDefault="001C480B">
      <w:pPr>
        <w:spacing w:after="160" w:line="259" w:lineRule="auto"/>
        <w:rPr>
          <w:rFonts w:ascii="Arial" w:hAnsi="Arial" w:cs="Arial"/>
          <w:sz w:val="20"/>
          <w:szCs w:val="20"/>
        </w:rPr>
      </w:pPr>
      <w:r>
        <w:rPr>
          <w:rFonts w:ascii="Arial" w:hAnsi="Arial" w:cs="Arial"/>
          <w:sz w:val="20"/>
          <w:szCs w:val="20"/>
        </w:rPr>
        <w:br w:type="page"/>
      </w:r>
    </w:p>
    <w:p w14:paraId="2F1A51BF" w14:textId="77777777" w:rsidR="001C480B" w:rsidRPr="0046115F" w:rsidRDefault="001C480B" w:rsidP="001C20BE">
      <w:pPr>
        <w:rPr>
          <w:rFonts w:ascii="Arial" w:hAnsi="Arial" w:cs="Arial"/>
          <w:sz w:val="20"/>
          <w:szCs w:val="20"/>
        </w:rPr>
      </w:pPr>
    </w:p>
    <w:p w14:paraId="54297D79" w14:textId="77777777" w:rsidR="001C20BE" w:rsidRPr="0046115F" w:rsidRDefault="001C20BE" w:rsidP="001C20BE">
      <w:pPr>
        <w:rPr>
          <w:rFonts w:ascii="Arial" w:hAnsi="Arial" w:cs="Arial"/>
          <w:sz w:val="20"/>
          <w:szCs w:val="20"/>
        </w:rPr>
      </w:pPr>
    </w:p>
    <w:p w14:paraId="39E750BC" w14:textId="5363BD66" w:rsidR="00433FD7" w:rsidRDefault="00433FD7" w:rsidP="001C20BE">
      <w:pPr>
        <w:rPr>
          <w:rFonts w:ascii="Arial" w:hAnsi="Arial" w:cs="Arial"/>
          <w:sz w:val="20"/>
          <w:szCs w:val="20"/>
          <w:u w:val="single"/>
        </w:rPr>
      </w:pPr>
      <w:r>
        <w:rPr>
          <w:rFonts w:ascii="Arial" w:hAnsi="Arial" w:cs="Arial"/>
          <w:sz w:val="20"/>
          <w:szCs w:val="20"/>
        </w:rPr>
        <w:t>2</w:t>
      </w:r>
      <w:r w:rsidRPr="0046115F">
        <w:rPr>
          <w:rFonts w:ascii="Arial" w:hAnsi="Arial" w:cs="Arial"/>
          <w:sz w:val="20"/>
          <w:szCs w:val="20"/>
        </w:rPr>
        <w:t>/</w:t>
      </w:r>
      <w:r w:rsidRPr="0046115F">
        <w:rPr>
          <w:rFonts w:ascii="Arial" w:hAnsi="Arial" w:cs="Arial"/>
          <w:b/>
          <w:sz w:val="20"/>
          <w:szCs w:val="20"/>
        </w:rPr>
        <w:t xml:space="preserve"> </w:t>
      </w:r>
      <w:r>
        <w:rPr>
          <w:rFonts w:ascii="Arial" w:hAnsi="Arial" w:cs="Arial"/>
          <w:b/>
          <w:sz w:val="20"/>
          <w:szCs w:val="20"/>
          <w:u w:val="single"/>
        </w:rPr>
        <w:t xml:space="preserve">Courtages </w:t>
      </w:r>
      <w:r w:rsidRPr="0046115F">
        <w:rPr>
          <w:rFonts w:ascii="Arial" w:hAnsi="Arial" w:cs="Arial"/>
          <w:b/>
          <w:sz w:val="20"/>
          <w:szCs w:val="20"/>
          <w:u w:val="single"/>
        </w:rPr>
        <w:t>générés par fonds sur les marchés actions</w:t>
      </w:r>
      <w:r>
        <w:rPr>
          <w:rFonts w:ascii="Arial" w:hAnsi="Arial" w:cs="Arial"/>
          <w:b/>
          <w:sz w:val="20"/>
          <w:szCs w:val="20"/>
          <w:u w:val="single"/>
        </w:rPr>
        <w:t xml:space="preserve"> en </w:t>
      </w:r>
      <w:proofErr w:type="gramStart"/>
      <w:r>
        <w:rPr>
          <w:rFonts w:ascii="Arial" w:hAnsi="Arial" w:cs="Arial"/>
          <w:b/>
          <w:sz w:val="20"/>
          <w:szCs w:val="20"/>
          <w:u w:val="single"/>
        </w:rPr>
        <w:t>2024</w:t>
      </w:r>
      <w:r w:rsidRPr="0046115F">
        <w:rPr>
          <w:rFonts w:ascii="Arial" w:hAnsi="Arial" w:cs="Arial"/>
          <w:sz w:val="20"/>
          <w:szCs w:val="20"/>
          <w:u w:val="single"/>
        </w:rPr>
        <w:t>:</w:t>
      </w:r>
      <w:proofErr w:type="gramEnd"/>
    </w:p>
    <w:p w14:paraId="5FF6A190" w14:textId="77777777" w:rsidR="00656E76" w:rsidRDefault="00656E76" w:rsidP="001C20BE">
      <w:pPr>
        <w:rPr>
          <w:rFonts w:ascii="Arial" w:hAnsi="Arial" w:cs="Arial"/>
          <w:sz w:val="20"/>
          <w:szCs w:val="20"/>
          <w:u w:val="single"/>
        </w:rPr>
      </w:pPr>
    </w:p>
    <w:p w14:paraId="4E5ACC53" w14:textId="4EC9D5F4" w:rsidR="00433FD7" w:rsidRDefault="00656E76" w:rsidP="001C20BE">
      <w:pPr>
        <w:rPr>
          <w:rFonts w:ascii="Arial" w:hAnsi="Arial" w:cs="Arial"/>
          <w:sz w:val="20"/>
          <w:szCs w:val="20"/>
          <w:u w:val="single"/>
        </w:rPr>
      </w:pPr>
      <w:r w:rsidRPr="00656E76">
        <w:rPr>
          <w:noProof/>
        </w:rPr>
        <w:drawing>
          <wp:inline distT="0" distB="0" distL="0" distR="0" wp14:anchorId="6E0A1982" wp14:editId="22621D2C">
            <wp:extent cx="5760720" cy="1816735"/>
            <wp:effectExtent l="0" t="0" r="0" b="0"/>
            <wp:docPr id="49676618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1816735"/>
                    </a:xfrm>
                    <a:prstGeom prst="rect">
                      <a:avLst/>
                    </a:prstGeom>
                    <a:noFill/>
                    <a:ln>
                      <a:noFill/>
                    </a:ln>
                  </pic:spPr>
                </pic:pic>
              </a:graphicData>
            </a:graphic>
          </wp:inline>
        </w:drawing>
      </w:r>
    </w:p>
    <w:p w14:paraId="76F9091D" w14:textId="658CC0D5" w:rsidR="00433FD7" w:rsidRDefault="00433FD7" w:rsidP="001C20BE">
      <w:pPr>
        <w:rPr>
          <w:rFonts w:ascii="Arial" w:hAnsi="Arial" w:cs="Arial"/>
          <w:sz w:val="20"/>
          <w:szCs w:val="20"/>
          <w:u w:val="single"/>
        </w:rPr>
      </w:pPr>
    </w:p>
    <w:p w14:paraId="24002FEF" w14:textId="77777777" w:rsidR="00433FD7" w:rsidRDefault="00433FD7" w:rsidP="001C20BE">
      <w:pPr>
        <w:rPr>
          <w:rFonts w:ascii="Arial" w:hAnsi="Arial" w:cs="Arial"/>
          <w:sz w:val="20"/>
          <w:szCs w:val="20"/>
        </w:rPr>
      </w:pPr>
    </w:p>
    <w:p w14:paraId="2FAB3FCE" w14:textId="77777777" w:rsidR="005D6F48" w:rsidRDefault="005D6F48" w:rsidP="001C20BE">
      <w:pPr>
        <w:rPr>
          <w:rFonts w:ascii="Arial" w:hAnsi="Arial" w:cs="Arial"/>
          <w:sz w:val="20"/>
          <w:szCs w:val="20"/>
        </w:rPr>
      </w:pPr>
    </w:p>
    <w:p w14:paraId="56BF7CB3" w14:textId="04F3CDD1" w:rsidR="001C20BE" w:rsidRPr="0046115F" w:rsidRDefault="005D6F48" w:rsidP="001C20BE">
      <w:pPr>
        <w:rPr>
          <w:rFonts w:ascii="Arial" w:hAnsi="Arial" w:cs="Arial"/>
          <w:sz w:val="20"/>
          <w:szCs w:val="20"/>
        </w:rPr>
      </w:pPr>
      <w:r>
        <w:rPr>
          <w:rFonts w:ascii="Arial" w:hAnsi="Arial" w:cs="Arial"/>
          <w:sz w:val="20"/>
          <w:szCs w:val="20"/>
        </w:rPr>
        <w:t>4</w:t>
      </w:r>
      <w:r w:rsidR="001C20BE" w:rsidRPr="0046115F">
        <w:rPr>
          <w:rFonts w:ascii="Arial" w:hAnsi="Arial" w:cs="Arial"/>
          <w:sz w:val="20"/>
          <w:szCs w:val="20"/>
        </w:rPr>
        <w:t xml:space="preserve">/ </w:t>
      </w:r>
      <w:r w:rsidR="001C20BE" w:rsidRPr="0046115F">
        <w:rPr>
          <w:rFonts w:ascii="Arial" w:hAnsi="Arial" w:cs="Arial"/>
          <w:b/>
          <w:sz w:val="20"/>
          <w:szCs w:val="20"/>
          <w:u w:val="single"/>
        </w:rPr>
        <w:t>Remarques</w:t>
      </w:r>
      <w:r w:rsidR="001C20BE" w:rsidRPr="0046115F">
        <w:rPr>
          <w:rFonts w:ascii="Arial" w:hAnsi="Arial" w:cs="Arial"/>
          <w:sz w:val="20"/>
          <w:szCs w:val="20"/>
        </w:rPr>
        <w:t> :</w:t>
      </w:r>
    </w:p>
    <w:p w14:paraId="0B1FC588" w14:textId="77777777" w:rsidR="001C20BE" w:rsidRPr="0046115F" w:rsidRDefault="001C20BE" w:rsidP="001C20BE">
      <w:pPr>
        <w:rPr>
          <w:rFonts w:ascii="Arial" w:hAnsi="Arial" w:cs="Arial"/>
          <w:sz w:val="20"/>
          <w:szCs w:val="20"/>
        </w:rPr>
      </w:pPr>
    </w:p>
    <w:p w14:paraId="41F793B1" w14:textId="77777777" w:rsidR="005D6F48" w:rsidRDefault="00635749" w:rsidP="00A90998">
      <w:pPr>
        <w:numPr>
          <w:ilvl w:val="0"/>
          <w:numId w:val="1"/>
        </w:numPr>
        <w:rPr>
          <w:rFonts w:ascii="Arial" w:hAnsi="Arial" w:cs="Arial"/>
          <w:sz w:val="20"/>
          <w:szCs w:val="20"/>
        </w:rPr>
      </w:pPr>
      <w:r>
        <w:rPr>
          <w:rFonts w:ascii="Arial" w:hAnsi="Arial" w:cs="Arial"/>
          <w:sz w:val="20"/>
          <w:szCs w:val="20"/>
        </w:rPr>
        <w:t xml:space="preserve">En </w:t>
      </w:r>
      <w:r w:rsidR="009412AD">
        <w:rPr>
          <w:rFonts w:ascii="Arial" w:hAnsi="Arial" w:cs="Arial"/>
          <w:sz w:val="20"/>
          <w:szCs w:val="20"/>
        </w:rPr>
        <w:t>202</w:t>
      </w:r>
      <w:r w:rsidR="00433FD7">
        <w:rPr>
          <w:rFonts w:ascii="Arial" w:hAnsi="Arial" w:cs="Arial"/>
          <w:sz w:val="20"/>
          <w:szCs w:val="20"/>
        </w:rPr>
        <w:t>4</w:t>
      </w:r>
      <w:r w:rsidR="009412AD">
        <w:rPr>
          <w:rFonts w:ascii="Arial" w:hAnsi="Arial" w:cs="Arial"/>
          <w:sz w:val="20"/>
          <w:szCs w:val="20"/>
        </w:rPr>
        <w:t xml:space="preserve">, la volumétrie de courtage consolidée </w:t>
      </w:r>
      <w:r w:rsidR="00433FD7">
        <w:rPr>
          <w:rFonts w:ascii="Arial" w:hAnsi="Arial" w:cs="Arial"/>
          <w:sz w:val="20"/>
          <w:szCs w:val="20"/>
        </w:rPr>
        <w:t>double par rapport à 2023. Ceci s’explique par une activité très dense sur les fonds DYNAMIQUE et PATRIMONIAL. DYNAMIQUE s’est graduellement exposé aux Etats-Unis au cours de l’exercice afin de tirer parti du dynamisme de la zone.</w:t>
      </w:r>
      <w:r w:rsidR="00645C78">
        <w:rPr>
          <w:rFonts w:ascii="Arial" w:hAnsi="Arial" w:cs="Arial"/>
          <w:sz w:val="20"/>
          <w:szCs w:val="20"/>
        </w:rPr>
        <w:t xml:space="preserve"> Par ai</w:t>
      </w:r>
      <w:r w:rsidR="00656E76">
        <w:rPr>
          <w:rFonts w:ascii="Arial" w:hAnsi="Arial" w:cs="Arial"/>
          <w:sz w:val="20"/>
          <w:szCs w:val="20"/>
        </w:rPr>
        <w:t xml:space="preserve">lleurs, de nombreux arbitrages ont été réalisé dans un environnement de marché changeant. </w:t>
      </w:r>
      <w:r w:rsidR="00A90998" w:rsidRPr="00A90998">
        <w:rPr>
          <w:rFonts w:ascii="Arial" w:hAnsi="Arial" w:cs="Arial"/>
          <w:sz w:val="20"/>
          <w:szCs w:val="20"/>
        </w:rPr>
        <w:t xml:space="preserve"> PATRIMONIAL a débuté l’année avec une exposition aux actions de 42% puis a oscillé entre 30% et 45%, en agissant plus particulièrement sur la poche actions européennes pour prendre en compte l’évolution du risque politique français. </w:t>
      </w:r>
      <w:r w:rsidR="00A90998">
        <w:rPr>
          <w:rFonts w:ascii="Arial" w:hAnsi="Arial" w:cs="Arial"/>
          <w:sz w:val="20"/>
          <w:szCs w:val="20"/>
        </w:rPr>
        <w:t>Enfin, le fonds a fait face à un rachat institutionnel en novembre.</w:t>
      </w:r>
      <w:r w:rsidR="00A661C1">
        <w:rPr>
          <w:rFonts w:ascii="Arial" w:hAnsi="Arial" w:cs="Arial"/>
          <w:sz w:val="20"/>
          <w:szCs w:val="20"/>
        </w:rPr>
        <w:t xml:space="preserve"> EUROLAND centré sur la zone euro enregistre une baisse des frais de courtage de l’ordre de 15%.   </w:t>
      </w:r>
    </w:p>
    <w:p w14:paraId="194CA309" w14:textId="77777777" w:rsidR="005D6F48" w:rsidRDefault="005D6F48" w:rsidP="005D6F48">
      <w:pPr>
        <w:ind w:left="720"/>
        <w:rPr>
          <w:rFonts w:ascii="Arial" w:hAnsi="Arial" w:cs="Arial"/>
          <w:sz w:val="20"/>
          <w:szCs w:val="20"/>
        </w:rPr>
      </w:pPr>
    </w:p>
    <w:p w14:paraId="5CE9B876" w14:textId="2301C0DB" w:rsidR="001C20BE" w:rsidRPr="00A90998" w:rsidRDefault="005D6F48" w:rsidP="00A90998">
      <w:pPr>
        <w:numPr>
          <w:ilvl w:val="0"/>
          <w:numId w:val="1"/>
        </w:numPr>
        <w:rPr>
          <w:rFonts w:ascii="Arial" w:hAnsi="Arial" w:cs="Arial"/>
          <w:sz w:val="20"/>
          <w:szCs w:val="20"/>
        </w:rPr>
      </w:pPr>
      <w:r>
        <w:rPr>
          <w:rFonts w:ascii="Arial" w:hAnsi="Arial" w:cs="Arial"/>
          <w:sz w:val="20"/>
          <w:szCs w:val="20"/>
        </w:rPr>
        <w:t>Cette hausse de la volumétrie, se traduit également dans des taux de rotations élevés pour les différents fonds : GEFIP DYNAMIQUE et GEFIP PATRIMONIAL</w:t>
      </w:r>
      <w:r w:rsidR="002C1662">
        <w:rPr>
          <w:rFonts w:ascii="Arial" w:hAnsi="Arial" w:cs="Arial"/>
          <w:sz w:val="20"/>
          <w:szCs w:val="20"/>
        </w:rPr>
        <w:t>.</w:t>
      </w:r>
    </w:p>
    <w:p w14:paraId="0D5680B4" w14:textId="77777777" w:rsidR="001C20BE" w:rsidRDefault="001C20BE" w:rsidP="001C20BE">
      <w:pPr>
        <w:ind w:left="360"/>
        <w:rPr>
          <w:rFonts w:ascii="Arial" w:hAnsi="Arial" w:cs="Arial"/>
          <w:sz w:val="20"/>
          <w:szCs w:val="20"/>
        </w:rPr>
      </w:pPr>
    </w:p>
    <w:p w14:paraId="4A943A34" w14:textId="0BAC5348" w:rsidR="001C20BE" w:rsidRPr="000036B8" w:rsidRDefault="00C528FA" w:rsidP="000036B8">
      <w:pPr>
        <w:numPr>
          <w:ilvl w:val="0"/>
          <w:numId w:val="1"/>
        </w:numPr>
        <w:rPr>
          <w:rFonts w:ascii="Arial" w:hAnsi="Arial" w:cs="Arial"/>
          <w:sz w:val="20"/>
          <w:szCs w:val="20"/>
        </w:rPr>
      </w:pPr>
      <w:r>
        <w:rPr>
          <w:rFonts w:ascii="Arial" w:hAnsi="Arial" w:cs="Arial"/>
          <w:sz w:val="20"/>
          <w:szCs w:val="20"/>
        </w:rPr>
        <w:t xml:space="preserve">Cette </w:t>
      </w:r>
      <w:r w:rsidR="00555DC4">
        <w:rPr>
          <w:rFonts w:ascii="Arial" w:hAnsi="Arial" w:cs="Arial"/>
          <w:sz w:val="20"/>
          <w:szCs w:val="20"/>
        </w:rPr>
        <w:t>hausse</w:t>
      </w:r>
      <w:r w:rsidR="000036B8">
        <w:rPr>
          <w:rFonts w:ascii="Arial" w:hAnsi="Arial" w:cs="Arial"/>
          <w:sz w:val="20"/>
          <w:szCs w:val="20"/>
        </w:rPr>
        <w:t xml:space="preserve"> de la volumétrie s’inscrit dans une baisse des encours moyens de la SGP. Entre 202</w:t>
      </w:r>
      <w:r w:rsidR="002F2BB7">
        <w:rPr>
          <w:rFonts w:ascii="Arial" w:hAnsi="Arial" w:cs="Arial"/>
          <w:sz w:val="20"/>
          <w:szCs w:val="20"/>
        </w:rPr>
        <w:t>4</w:t>
      </w:r>
      <w:r w:rsidR="000036B8">
        <w:rPr>
          <w:rFonts w:ascii="Arial" w:hAnsi="Arial" w:cs="Arial"/>
          <w:sz w:val="20"/>
          <w:szCs w:val="20"/>
        </w:rPr>
        <w:t xml:space="preserve"> et 202</w:t>
      </w:r>
      <w:r w:rsidR="002F2BB7">
        <w:rPr>
          <w:rFonts w:ascii="Arial" w:hAnsi="Arial" w:cs="Arial"/>
          <w:sz w:val="20"/>
          <w:szCs w:val="20"/>
        </w:rPr>
        <w:t>3</w:t>
      </w:r>
      <w:r w:rsidR="000036B8">
        <w:rPr>
          <w:rFonts w:ascii="Arial" w:hAnsi="Arial" w:cs="Arial"/>
          <w:sz w:val="20"/>
          <w:szCs w:val="20"/>
        </w:rPr>
        <w:t xml:space="preserve"> ces derniers ont décru de </w:t>
      </w:r>
      <w:r w:rsidR="002F2BB7">
        <w:rPr>
          <w:rFonts w:ascii="Arial" w:hAnsi="Arial" w:cs="Arial"/>
          <w:sz w:val="20"/>
          <w:szCs w:val="20"/>
        </w:rPr>
        <w:t>4%</w:t>
      </w:r>
      <w:r w:rsidR="000036B8">
        <w:rPr>
          <w:rFonts w:ascii="Arial" w:hAnsi="Arial" w:cs="Arial"/>
          <w:sz w:val="20"/>
          <w:szCs w:val="20"/>
        </w:rPr>
        <w:t xml:space="preserve">. Cette baisse des encours moyens couplée à la </w:t>
      </w:r>
      <w:r w:rsidR="002F2BB7">
        <w:rPr>
          <w:rFonts w:ascii="Arial" w:hAnsi="Arial" w:cs="Arial"/>
          <w:sz w:val="20"/>
          <w:szCs w:val="20"/>
        </w:rPr>
        <w:t>hausse</w:t>
      </w:r>
      <w:r w:rsidR="000036B8">
        <w:rPr>
          <w:rFonts w:ascii="Arial" w:hAnsi="Arial" w:cs="Arial"/>
          <w:sz w:val="20"/>
          <w:szCs w:val="20"/>
        </w:rPr>
        <w:t xml:space="preserve"> du courtage se traduit par un ratio de courtage </w:t>
      </w:r>
      <w:r w:rsidR="002F2BB7">
        <w:rPr>
          <w:rFonts w:ascii="Arial" w:hAnsi="Arial" w:cs="Arial"/>
          <w:sz w:val="20"/>
          <w:szCs w:val="20"/>
        </w:rPr>
        <w:t xml:space="preserve">qui double sur </w:t>
      </w:r>
      <w:proofErr w:type="gramStart"/>
      <w:r w:rsidR="002F2BB7">
        <w:rPr>
          <w:rFonts w:ascii="Arial" w:hAnsi="Arial" w:cs="Arial"/>
          <w:sz w:val="20"/>
          <w:szCs w:val="20"/>
        </w:rPr>
        <w:t xml:space="preserve">l’année </w:t>
      </w:r>
      <w:r w:rsidR="000036B8">
        <w:rPr>
          <w:rFonts w:ascii="Arial" w:hAnsi="Arial" w:cs="Arial"/>
          <w:sz w:val="20"/>
          <w:szCs w:val="20"/>
        </w:rPr>
        <w:t xml:space="preserve"> (</w:t>
      </w:r>
      <w:proofErr w:type="gramEnd"/>
      <w:r w:rsidR="002F2BB7">
        <w:rPr>
          <w:rFonts w:ascii="Arial" w:hAnsi="Arial" w:cs="Arial"/>
          <w:sz w:val="20"/>
          <w:szCs w:val="20"/>
        </w:rPr>
        <w:t>4</w:t>
      </w:r>
      <w:r w:rsidR="000036B8">
        <w:rPr>
          <w:rFonts w:ascii="Arial" w:hAnsi="Arial" w:cs="Arial"/>
          <w:sz w:val="20"/>
          <w:szCs w:val="20"/>
        </w:rPr>
        <w:t xml:space="preserve"> bps en 202</w:t>
      </w:r>
      <w:r w:rsidR="002F2BB7">
        <w:rPr>
          <w:rFonts w:ascii="Arial" w:hAnsi="Arial" w:cs="Arial"/>
          <w:sz w:val="20"/>
          <w:szCs w:val="20"/>
        </w:rPr>
        <w:t>4</w:t>
      </w:r>
      <w:r w:rsidR="000036B8">
        <w:rPr>
          <w:rFonts w:ascii="Arial" w:hAnsi="Arial" w:cs="Arial"/>
          <w:sz w:val="20"/>
          <w:szCs w:val="20"/>
        </w:rPr>
        <w:t xml:space="preserve"> vs.</w:t>
      </w:r>
      <w:r w:rsidR="002F2BB7">
        <w:rPr>
          <w:rFonts w:ascii="Arial" w:hAnsi="Arial" w:cs="Arial"/>
          <w:sz w:val="20"/>
          <w:szCs w:val="20"/>
        </w:rPr>
        <w:t>2</w:t>
      </w:r>
      <w:r w:rsidR="000036B8">
        <w:rPr>
          <w:rFonts w:ascii="Arial" w:hAnsi="Arial" w:cs="Arial"/>
          <w:sz w:val="20"/>
          <w:szCs w:val="20"/>
        </w:rPr>
        <w:t xml:space="preserve"> bps en 202</w:t>
      </w:r>
      <w:r w:rsidR="002F2BB7">
        <w:rPr>
          <w:rFonts w:ascii="Arial" w:hAnsi="Arial" w:cs="Arial"/>
          <w:sz w:val="20"/>
          <w:szCs w:val="20"/>
        </w:rPr>
        <w:t>3</w:t>
      </w:r>
      <w:r w:rsidR="000036B8">
        <w:rPr>
          <w:rFonts w:ascii="Arial" w:hAnsi="Arial" w:cs="Arial"/>
          <w:sz w:val="20"/>
          <w:szCs w:val="20"/>
        </w:rPr>
        <w:t xml:space="preserve">). </w:t>
      </w:r>
    </w:p>
    <w:p w14:paraId="3389BB4D" w14:textId="77777777" w:rsidR="001C20BE" w:rsidRPr="0046115F" w:rsidRDefault="001C20BE" w:rsidP="001C20BE">
      <w:pPr>
        <w:rPr>
          <w:rFonts w:ascii="Arial" w:hAnsi="Arial" w:cs="Arial"/>
          <w:sz w:val="20"/>
          <w:szCs w:val="20"/>
        </w:rPr>
      </w:pPr>
    </w:p>
    <w:p w14:paraId="45E34DB7" w14:textId="75AFB8C1" w:rsidR="001C20BE" w:rsidRPr="006B2D4A" w:rsidRDefault="00C528FA" w:rsidP="006B2D4A">
      <w:pPr>
        <w:numPr>
          <w:ilvl w:val="0"/>
          <w:numId w:val="1"/>
        </w:numPr>
        <w:rPr>
          <w:rFonts w:ascii="Arial" w:hAnsi="Arial" w:cs="Arial"/>
          <w:sz w:val="20"/>
          <w:szCs w:val="20"/>
        </w:rPr>
      </w:pPr>
      <w:r>
        <w:rPr>
          <w:rFonts w:ascii="Arial" w:hAnsi="Arial" w:cs="Arial"/>
          <w:sz w:val="20"/>
          <w:szCs w:val="20"/>
        </w:rPr>
        <w:t xml:space="preserve">Au niveau des fonds, </w:t>
      </w:r>
      <w:r w:rsidR="009C6CD8">
        <w:rPr>
          <w:rFonts w:ascii="Arial" w:hAnsi="Arial" w:cs="Arial"/>
          <w:sz w:val="20"/>
          <w:szCs w:val="20"/>
        </w:rPr>
        <w:t>les encours moyens</w:t>
      </w:r>
      <w:r w:rsidR="000036B8">
        <w:rPr>
          <w:rFonts w:ascii="Arial" w:hAnsi="Arial" w:cs="Arial"/>
          <w:sz w:val="20"/>
          <w:szCs w:val="20"/>
        </w:rPr>
        <w:t xml:space="preserve"> de </w:t>
      </w:r>
      <w:r w:rsidR="002F2BB7">
        <w:rPr>
          <w:rFonts w:ascii="Arial" w:hAnsi="Arial" w:cs="Arial"/>
          <w:sz w:val="20"/>
          <w:szCs w:val="20"/>
        </w:rPr>
        <w:t xml:space="preserve">PATRIMONIAL se contracte de 13% sur l’année. Le fonds bénéficie d’un effet marché positif, contrebalancé par la sortie d’un client institutionnel.  </w:t>
      </w:r>
      <w:r w:rsidR="000036B8">
        <w:rPr>
          <w:rFonts w:ascii="Arial" w:hAnsi="Arial" w:cs="Arial"/>
          <w:sz w:val="20"/>
          <w:szCs w:val="20"/>
        </w:rPr>
        <w:t>DYNAMIQUE</w:t>
      </w:r>
      <w:r w:rsidR="002F2BB7">
        <w:rPr>
          <w:rFonts w:ascii="Arial" w:hAnsi="Arial" w:cs="Arial"/>
          <w:sz w:val="20"/>
          <w:szCs w:val="20"/>
        </w:rPr>
        <w:t xml:space="preserve">, voit ses encours croitre, bénéficiant d’un effet marché et d’un effet collecte positifs. </w:t>
      </w:r>
      <w:r w:rsidR="0098638F">
        <w:rPr>
          <w:rFonts w:ascii="Arial" w:hAnsi="Arial" w:cs="Arial"/>
          <w:sz w:val="20"/>
          <w:szCs w:val="20"/>
        </w:rPr>
        <w:t>EUROLAND</w:t>
      </w:r>
      <w:r w:rsidR="002F2BB7">
        <w:rPr>
          <w:rFonts w:ascii="Arial" w:hAnsi="Arial" w:cs="Arial"/>
          <w:sz w:val="20"/>
          <w:szCs w:val="20"/>
        </w:rPr>
        <w:t xml:space="preserve"> profite d’un effet marché positif mais souffre de rachat</w:t>
      </w:r>
      <w:r w:rsidR="00C2545A">
        <w:rPr>
          <w:rFonts w:ascii="Arial" w:hAnsi="Arial" w:cs="Arial"/>
          <w:sz w:val="20"/>
          <w:szCs w:val="20"/>
        </w:rPr>
        <w:t>s</w:t>
      </w:r>
      <w:r w:rsidR="002F2BB7">
        <w:rPr>
          <w:rFonts w:ascii="Arial" w:hAnsi="Arial" w:cs="Arial"/>
          <w:sz w:val="20"/>
          <w:szCs w:val="20"/>
        </w:rPr>
        <w:t xml:space="preserve"> déclench</w:t>
      </w:r>
      <w:r w:rsidR="00C2545A">
        <w:rPr>
          <w:rFonts w:ascii="Arial" w:hAnsi="Arial" w:cs="Arial"/>
          <w:sz w:val="20"/>
          <w:szCs w:val="20"/>
        </w:rPr>
        <w:t>és</w:t>
      </w:r>
      <w:r w:rsidR="002F2BB7">
        <w:rPr>
          <w:rFonts w:ascii="Arial" w:hAnsi="Arial" w:cs="Arial"/>
          <w:sz w:val="20"/>
          <w:szCs w:val="20"/>
        </w:rPr>
        <w:t xml:space="preserve"> par la situation politique française. </w:t>
      </w:r>
      <w:r w:rsidR="00B46011">
        <w:rPr>
          <w:rFonts w:ascii="Arial" w:eastAsia="MS Mincho" w:hAnsi="Arial" w:cs="Arial"/>
          <w:sz w:val="20"/>
          <w:szCs w:val="20"/>
          <w:lang w:eastAsia="ja-JP"/>
        </w:rPr>
        <w:t xml:space="preserve">Le ratio de courtage est en </w:t>
      </w:r>
      <w:r w:rsidR="00C2545A">
        <w:rPr>
          <w:rFonts w:ascii="Arial" w:eastAsia="MS Mincho" w:hAnsi="Arial" w:cs="Arial"/>
          <w:sz w:val="20"/>
          <w:szCs w:val="20"/>
          <w:lang w:eastAsia="ja-JP"/>
        </w:rPr>
        <w:t>hausse</w:t>
      </w:r>
      <w:r w:rsidR="00B46011">
        <w:rPr>
          <w:rFonts w:ascii="Arial" w:eastAsia="MS Mincho" w:hAnsi="Arial" w:cs="Arial"/>
          <w:sz w:val="20"/>
          <w:szCs w:val="20"/>
          <w:lang w:eastAsia="ja-JP"/>
        </w:rPr>
        <w:t xml:space="preserve"> de 50% sur PATRIMONIAL (</w:t>
      </w:r>
      <w:r w:rsidR="00C2545A">
        <w:rPr>
          <w:rFonts w:ascii="Arial" w:eastAsia="MS Mincho" w:hAnsi="Arial" w:cs="Arial"/>
          <w:sz w:val="20"/>
          <w:szCs w:val="20"/>
          <w:lang w:eastAsia="ja-JP"/>
        </w:rPr>
        <w:t>3</w:t>
      </w:r>
      <w:r w:rsidR="00B46011">
        <w:rPr>
          <w:rFonts w:ascii="Arial" w:eastAsia="MS Mincho" w:hAnsi="Arial" w:cs="Arial"/>
          <w:sz w:val="20"/>
          <w:szCs w:val="20"/>
          <w:lang w:eastAsia="ja-JP"/>
        </w:rPr>
        <w:t xml:space="preserve"> bps vs. </w:t>
      </w:r>
      <w:r w:rsidR="00C2545A">
        <w:rPr>
          <w:rFonts w:ascii="Arial" w:eastAsia="MS Mincho" w:hAnsi="Arial" w:cs="Arial"/>
          <w:sz w:val="20"/>
          <w:szCs w:val="20"/>
          <w:lang w:eastAsia="ja-JP"/>
        </w:rPr>
        <w:t>2</w:t>
      </w:r>
      <w:r w:rsidR="00B46011">
        <w:rPr>
          <w:rFonts w:ascii="Arial" w:eastAsia="MS Mincho" w:hAnsi="Arial" w:cs="Arial"/>
          <w:sz w:val="20"/>
          <w:szCs w:val="20"/>
          <w:lang w:eastAsia="ja-JP"/>
        </w:rPr>
        <w:t xml:space="preserve"> bps en 202</w:t>
      </w:r>
      <w:r w:rsidR="00C2545A">
        <w:rPr>
          <w:rFonts w:ascii="Arial" w:eastAsia="MS Mincho" w:hAnsi="Arial" w:cs="Arial"/>
          <w:sz w:val="20"/>
          <w:szCs w:val="20"/>
          <w:lang w:eastAsia="ja-JP"/>
        </w:rPr>
        <w:t>4</w:t>
      </w:r>
      <w:r w:rsidR="00B46011">
        <w:rPr>
          <w:rFonts w:ascii="Arial" w:eastAsia="MS Mincho" w:hAnsi="Arial" w:cs="Arial"/>
          <w:sz w:val="20"/>
          <w:szCs w:val="20"/>
          <w:lang w:eastAsia="ja-JP"/>
        </w:rPr>
        <w:t xml:space="preserve">), de </w:t>
      </w:r>
      <w:r w:rsidR="00C2545A">
        <w:rPr>
          <w:rFonts w:ascii="Arial" w:eastAsia="MS Mincho" w:hAnsi="Arial" w:cs="Arial"/>
          <w:sz w:val="20"/>
          <w:szCs w:val="20"/>
          <w:lang w:eastAsia="ja-JP"/>
        </w:rPr>
        <w:t>150</w:t>
      </w:r>
      <w:r w:rsidR="00B46011">
        <w:rPr>
          <w:rFonts w:ascii="Arial" w:eastAsia="MS Mincho" w:hAnsi="Arial" w:cs="Arial"/>
          <w:sz w:val="20"/>
          <w:szCs w:val="20"/>
          <w:lang w:eastAsia="ja-JP"/>
        </w:rPr>
        <w:t>% sur DYNAMIQUE (</w:t>
      </w:r>
      <w:r w:rsidR="00C2545A">
        <w:rPr>
          <w:rFonts w:ascii="Arial" w:eastAsia="MS Mincho" w:hAnsi="Arial" w:cs="Arial"/>
          <w:sz w:val="20"/>
          <w:szCs w:val="20"/>
          <w:lang w:eastAsia="ja-JP"/>
        </w:rPr>
        <w:t>5</w:t>
      </w:r>
      <w:r w:rsidR="00B46011">
        <w:rPr>
          <w:rFonts w:ascii="Arial" w:eastAsia="MS Mincho" w:hAnsi="Arial" w:cs="Arial"/>
          <w:sz w:val="20"/>
          <w:szCs w:val="20"/>
          <w:lang w:eastAsia="ja-JP"/>
        </w:rPr>
        <w:t xml:space="preserve"> bps vs. </w:t>
      </w:r>
      <w:r w:rsidR="00C2545A">
        <w:rPr>
          <w:rFonts w:ascii="Arial" w:eastAsia="MS Mincho" w:hAnsi="Arial" w:cs="Arial"/>
          <w:sz w:val="20"/>
          <w:szCs w:val="20"/>
          <w:lang w:eastAsia="ja-JP"/>
        </w:rPr>
        <w:t>2</w:t>
      </w:r>
      <w:r w:rsidR="00B46011">
        <w:rPr>
          <w:rFonts w:ascii="Arial" w:eastAsia="MS Mincho" w:hAnsi="Arial" w:cs="Arial"/>
          <w:sz w:val="20"/>
          <w:szCs w:val="20"/>
          <w:lang w:eastAsia="ja-JP"/>
        </w:rPr>
        <w:t xml:space="preserve"> bps en 202</w:t>
      </w:r>
      <w:r w:rsidR="00C2545A">
        <w:rPr>
          <w:rFonts w:ascii="Arial" w:eastAsia="MS Mincho" w:hAnsi="Arial" w:cs="Arial"/>
          <w:sz w:val="20"/>
          <w:szCs w:val="20"/>
          <w:lang w:eastAsia="ja-JP"/>
        </w:rPr>
        <w:t>4</w:t>
      </w:r>
      <w:r w:rsidR="00B46011">
        <w:rPr>
          <w:rFonts w:ascii="Arial" w:eastAsia="MS Mincho" w:hAnsi="Arial" w:cs="Arial"/>
          <w:sz w:val="20"/>
          <w:szCs w:val="20"/>
          <w:lang w:eastAsia="ja-JP"/>
        </w:rPr>
        <w:t>), et reste stable sur EUROLAND (4 bps vs. 4 bps en 202</w:t>
      </w:r>
      <w:r w:rsidR="00C2545A">
        <w:rPr>
          <w:rFonts w:ascii="Arial" w:eastAsia="MS Mincho" w:hAnsi="Arial" w:cs="Arial"/>
          <w:sz w:val="20"/>
          <w:szCs w:val="20"/>
          <w:lang w:eastAsia="ja-JP"/>
        </w:rPr>
        <w:t>4</w:t>
      </w:r>
      <w:r w:rsidR="00B46011">
        <w:rPr>
          <w:rFonts w:ascii="Arial" w:eastAsia="MS Mincho" w:hAnsi="Arial" w:cs="Arial"/>
          <w:sz w:val="20"/>
          <w:szCs w:val="20"/>
          <w:lang w:eastAsia="ja-JP"/>
        </w:rPr>
        <w:t>)</w:t>
      </w:r>
    </w:p>
    <w:p w14:paraId="6D7B0BDF" w14:textId="77777777" w:rsidR="001C20BE" w:rsidRPr="001F081F" w:rsidRDefault="001C20BE" w:rsidP="001F081F">
      <w:pPr>
        <w:rPr>
          <w:rFonts w:ascii="Arial" w:eastAsia="MS Mincho" w:hAnsi="Arial" w:cs="Arial"/>
          <w:sz w:val="20"/>
          <w:szCs w:val="20"/>
          <w:lang w:eastAsia="ja-JP"/>
        </w:rPr>
      </w:pPr>
    </w:p>
    <w:p w14:paraId="72CE4009" w14:textId="541BED17" w:rsidR="00370F9A" w:rsidRDefault="00B46011" w:rsidP="00430BD6">
      <w:pPr>
        <w:numPr>
          <w:ilvl w:val="0"/>
          <w:numId w:val="1"/>
        </w:numPr>
        <w:rPr>
          <w:rFonts w:ascii="Arial" w:hAnsi="Arial" w:cs="Arial"/>
          <w:sz w:val="20"/>
          <w:szCs w:val="20"/>
        </w:rPr>
      </w:pPr>
      <w:r>
        <w:rPr>
          <w:rFonts w:ascii="Arial" w:hAnsi="Arial" w:cs="Arial"/>
          <w:sz w:val="20"/>
          <w:szCs w:val="20"/>
        </w:rPr>
        <w:t xml:space="preserve">Nos deux broker principaux KEPLER et BoAML enregistrent des </w:t>
      </w:r>
      <w:r w:rsidR="00C2545A">
        <w:rPr>
          <w:rFonts w:ascii="Arial" w:hAnsi="Arial" w:cs="Arial"/>
          <w:sz w:val="20"/>
          <w:szCs w:val="20"/>
        </w:rPr>
        <w:t>hausses</w:t>
      </w:r>
      <w:r>
        <w:rPr>
          <w:rFonts w:ascii="Arial" w:hAnsi="Arial" w:cs="Arial"/>
          <w:sz w:val="20"/>
          <w:szCs w:val="20"/>
        </w:rPr>
        <w:t xml:space="preserve"> de courtage</w:t>
      </w:r>
      <w:r w:rsidR="00C2545A">
        <w:rPr>
          <w:rFonts w:ascii="Arial" w:hAnsi="Arial" w:cs="Arial"/>
          <w:sz w:val="20"/>
          <w:szCs w:val="20"/>
        </w:rPr>
        <w:t xml:space="preserve"> significatives</w:t>
      </w:r>
      <w:r>
        <w:rPr>
          <w:rFonts w:ascii="Arial" w:hAnsi="Arial" w:cs="Arial"/>
          <w:sz w:val="20"/>
          <w:szCs w:val="20"/>
        </w:rPr>
        <w:t xml:space="preserve"> (</w:t>
      </w:r>
      <w:r w:rsidR="00555DC4">
        <w:rPr>
          <w:rFonts w:ascii="Arial" w:hAnsi="Arial" w:cs="Arial"/>
          <w:sz w:val="20"/>
          <w:szCs w:val="20"/>
        </w:rPr>
        <w:t>+</w:t>
      </w:r>
      <w:r w:rsidR="00C2545A">
        <w:rPr>
          <w:rFonts w:ascii="Arial" w:hAnsi="Arial" w:cs="Arial"/>
          <w:sz w:val="20"/>
          <w:szCs w:val="20"/>
        </w:rPr>
        <w:t>121</w:t>
      </w:r>
      <w:r>
        <w:rPr>
          <w:rFonts w:ascii="Arial" w:hAnsi="Arial" w:cs="Arial"/>
          <w:sz w:val="20"/>
          <w:szCs w:val="20"/>
        </w:rPr>
        <w:t xml:space="preserve">% pour KECH et </w:t>
      </w:r>
      <w:r w:rsidR="00555DC4">
        <w:rPr>
          <w:rFonts w:ascii="Arial" w:hAnsi="Arial" w:cs="Arial"/>
          <w:sz w:val="20"/>
          <w:szCs w:val="20"/>
        </w:rPr>
        <w:t>+</w:t>
      </w:r>
      <w:r w:rsidR="00C2545A">
        <w:rPr>
          <w:rFonts w:ascii="Arial" w:hAnsi="Arial" w:cs="Arial"/>
          <w:sz w:val="20"/>
          <w:szCs w:val="20"/>
        </w:rPr>
        <w:t>87</w:t>
      </w:r>
      <w:r>
        <w:rPr>
          <w:rFonts w:ascii="Arial" w:hAnsi="Arial" w:cs="Arial"/>
          <w:sz w:val="20"/>
          <w:szCs w:val="20"/>
        </w:rPr>
        <w:t xml:space="preserve">% pour BoAML). </w:t>
      </w:r>
      <w:r w:rsidR="00C2545A">
        <w:rPr>
          <w:rFonts w:ascii="Arial" w:hAnsi="Arial" w:cs="Arial"/>
          <w:sz w:val="20"/>
          <w:szCs w:val="20"/>
        </w:rPr>
        <w:t xml:space="preserve">L’arrêts des relations avec BRYAN GARNIER (dénoncé en 2024) et INSITNET (fréquence de transaction pas assez élevée pour maintenir la relation) explique </w:t>
      </w:r>
      <w:proofErr w:type="gramStart"/>
      <w:r w:rsidR="00C2545A">
        <w:rPr>
          <w:rFonts w:ascii="Arial" w:hAnsi="Arial" w:cs="Arial"/>
          <w:sz w:val="20"/>
          <w:szCs w:val="20"/>
        </w:rPr>
        <w:t>les chute</w:t>
      </w:r>
      <w:proofErr w:type="gramEnd"/>
      <w:r w:rsidR="00C2545A">
        <w:rPr>
          <w:rFonts w:ascii="Arial" w:hAnsi="Arial" w:cs="Arial"/>
          <w:sz w:val="20"/>
          <w:szCs w:val="20"/>
        </w:rPr>
        <w:t xml:space="preserve"> de respectivement 100% et 74%. </w:t>
      </w:r>
    </w:p>
    <w:p w14:paraId="2BA7CFF7" w14:textId="77777777" w:rsidR="002C4DDB" w:rsidRDefault="002C4DDB" w:rsidP="002C4DDB">
      <w:pPr>
        <w:pStyle w:val="Paragraphedeliste"/>
        <w:rPr>
          <w:rFonts w:ascii="Arial" w:hAnsi="Arial" w:cs="Arial"/>
          <w:sz w:val="20"/>
          <w:szCs w:val="20"/>
        </w:rPr>
      </w:pPr>
    </w:p>
    <w:p w14:paraId="640B96DF" w14:textId="6C541F1E" w:rsidR="002C4DDB" w:rsidRDefault="002C4DDB" w:rsidP="00430BD6">
      <w:pPr>
        <w:numPr>
          <w:ilvl w:val="0"/>
          <w:numId w:val="1"/>
        </w:numPr>
        <w:rPr>
          <w:rFonts w:ascii="Arial" w:hAnsi="Arial" w:cs="Arial"/>
          <w:sz w:val="20"/>
          <w:szCs w:val="20"/>
        </w:rPr>
      </w:pPr>
      <w:r>
        <w:rPr>
          <w:rFonts w:ascii="Arial" w:hAnsi="Arial" w:cs="Arial"/>
          <w:sz w:val="20"/>
          <w:szCs w:val="20"/>
        </w:rPr>
        <w:t xml:space="preserve">La </w:t>
      </w:r>
      <w:r w:rsidR="00C2545A">
        <w:rPr>
          <w:rFonts w:ascii="Arial" w:hAnsi="Arial" w:cs="Arial"/>
          <w:sz w:val="20"/>
          <w:szCs w:val="20"/>
        </w:rPr>
        <w:t xml:space="preserve">volumétrie quasi identique entre PATRIMONIAL et DYNAMIQUE s’explique par la convergence de la taille de fonds. </w:t>
      </w:r>
    </w:p>
    <w:p w14:paraId="667037C4" w14:textId="77777777" w:rsidR="001C20BE" w:rsidRDefault="001C20BE" w:rsidP="001C20BE">
      <w:pPr>
        <w:rPr>
          <w:rFonts w:ascii="Arial" w:hAnsi="Arial" w:cs="Arial"/>
          <w:sz w:val="20"/>
          <w:szCs w:val="20"/>
        </w:rPr>
      </w:pPr>
    </w:p>
    <w:p w14:paraId="08BE50A4" w14:textId="590E5BF7" w:rsidR="001C20BE" w:rsidRPr="001731AD" w:rsidRDefault="005D6F48" w:rsidP="001C20BE">
      <w:pPr>
        <w:rPr>
          <w:rFonts w:ascii="Arial" w:hAnsi="Arial" w:cs="Arial"/>
          <w:sz w:val="20"/>
          <w:szCs w:val="20"/>
        </w:rPr>
      </w:pPr>
      <w:r>
        <w:rPr>
          <w:rFonts w:ascii="Arial" w:hAnsi="Arial" w:cs="Arial"/>
          <w:sz w:val="20"/>
          <w:szCs w:val="20"/>
        </w:rPr>
        <w:t>5</w:t>
      </w:r>
      <w:r w:rsidR="001C20BE" w:rsidRPr="00425FA7">
        <w:rPr>
          <w:rFonts w:ascii="Arial" w:hAnsi="Arial" w:cs="Arial"/>
          <w:sz w:val="20"/>
          <w:szCs w:val="20"/>
        </w:rPr>
        <w:t xml:space="preserve">/ </w:t>
      </w:r>
      <w:r w:rsidR="009B04E3">
        <w:rPr>
          <w:rFonts w:ascii="Arial" w:hAnsi="Arial" w:cs="Arial"/>
          <w:b/>
          <w:sz w:val="20"/>
          <w:szCs w:val="20"/>
          <w:u w:val="single"/>
        </w:rPr>
        <w:t>Proposition pour 202</w:t>
      </w:r>
      <w:r w:rsidR="00555DC4">
        <w:rPr>
          <w:rFonts w:ascii="Arial" w:hAnsi="Arial" w:cs="Arial"/>
          <w:b/>
          <w:sz w:val="20"/>
          <w:szCs w:val="20"/>
          <w:u w:val="single"/>
        </w:rPr>
        <w:t>5</w:t>
      </w:r>
      <w:r w:rsidR="001C20BE" w:rsidRPr="00425FA7">
        <w:rPr>
          <w:rFonts w:ascii="Arial" w:hAnsi="Arial" w:cs="Arial"/>
          <w:sz w:val="20"/>
          <w:szCs w:val="20"/>
        </w:rPr>
        <w:t> :</w:t>
      </w:r>
    </w:p>
    <w:p w14:paraId="082861FF" w14:textId="77777777" w:rsidR="001C20BE" w:rsidRPr="001731AD" w:rsidRDefault="001C20BE" w:rsidP="001C20BE">
      <w:pPr>
        <w:rPr>
          <w:rFonts w:ascii="Arial" w:hAnsi="Arial" w:cs="Arial"/>
          <w:sz w:val="20"/>
          <w:szCs w:val="20"/>
        </w:rPr>
      </w:pPr>
    </w:p>
    <w:p w14:paraId="4D099C7A" w14:textId="5F73308D" w:rsidR="009B04E3" w:rsidRDefault="009A16D2" w:rsidP="001C20BE">
      <w:pPr>
        <w:rPr>
          <w:rFonts w:ascii="Arial" w:hAnsi="Arial" w:cs="Arial"/>
          <w:sz w:val="20"/>
          <w:szCs w:val="20"/>
        </w:rPr>
      </w:pPr>
      <w:r>
        <w:rPr>
          <w:rFonts w:ascii="Arial" w:hAnsi="Arial" w:cs="Arial"/>
          <w:sz w:val="20"/>
          <w:szCs w:val="20"/>
        </w:rPr>
        <w:t xml:space="preserve">Nous </w:t>
      </w:r>
      <w:r w:rsidR="00486117">
        <w:rPr>
          <w:rFonts w:ascii="Arial" w:hAnsi="Arial" w:cs="Arial"/>
          <w:sz w:val="20"/>
          <w:szCs w:val="20"/>
        </w:rPr>
        <w:t>allons</w:t>
      </w:r>
      <w:r w:rsidR="00B46011">
        <w:rPr>
          <w:rFonts w:ascii="Arial" w:hAnsi="Arial" w:cs="Arial"/>
          <w:sz w:val="20"/>
          <w:szCs w:val="20"/>
        </w:rPr>
        <w:t xml:space="preserve"> </w:t>
      </w:r>
      <w:r w:rsidR="00555DC4">
        <w:rPr>
          <w:rFonts w:ascii="Arial" w:hAnsi="Arial" w:cs="Arial"/>
          <w:sz w:val="20"/>
          <w:szCs w:val="20"/>
        </w:rPr>
        <w:t xml:space="preserve">maintenir la même configuration que pour 2024. </w:t>
      </w:r>
    </w:p>
    <w:p w14:paraId="04C4D701" w14:textId="77777777" w:rsidR="009B04E3" w:rsidRDefault="009B04E3" w:rsidP="001C20BE">
      <w:pPr>
        <w:rPr>
          <w:rFonts w:ascii="Arial" w:hAnsi="Arial" w:cs="Arial"/>
          <w:sz w:val="20"/>
          <w:szCs w:val="20"/>
        </w:rPr>
      </w:pPr>
    </w:p>
    <w:p w14:paraId="2BB3E3E0" w14:textId="77777777" w:rsidR="00F6495D" w:rsidRDefault="001C20BE" w:rsidP="00F6495D">
      <w:pPr>
        <w:rPr>
          <w:rFonts w:ascii="Arial" w:hAnsi="Arial" w:cs="Arial"/>
          <w:sz w:val="20"/>
          <w:szCs w:val="20"/>
        </w:rPr>
      </w:pPr>
      <w:r w:rsidRPr="005C781C">
        <w:rPr>
          <w:rFonts w:ascii="Arial" w:hAnsi="Arial" w:cs="Arial"/>
          <w:sz w:val="20"/>
          <w:szCs w:val="20"/>
        </w:rPr>
        <w:lastRenderedPageBreak/>
        <w:t xml:space="preserve">Le RCCI a mis en place un tableau de suivi de la « best </w:t>
      </w:r>
      <w:r w:rsidR="007F25BC" w:rsidRPr="005C781C">
        <w:rPr>
          <w:rFonts w:ascii="Arial" w:hAnsi="Arial" w:cs="Arial"/>
          <w:sz w:val="20"/>
          <w:szCs w:val="20"/>
        </w:rPr>
        <w:t>exécution</w:t>
      </w:r>
      <w:r w:rsidRPr="005C781C">
        <w:rPr>
          <w:rFonts w:ascii="Arial" w:hAnsi="Arial" w:cs="Arial"/>
          <w:sz w:val="20"/>
          <w:szCs w:val="20"/>
        </w:rPr>
        <w:t> </w:t>
      </w:r>
      <w:r w:rsidR="008B6AB2" w:rsidRPr="005C781C">
        <w:rPr>
          <w:rFonts w:ascii="Arial" w:hAnsi="Arial" w:cs="Arial"/>
          <w:sz w:val="20"/>
          <w:szCs w:val="20"/>
        </w:rPr>
        <w:t>» sur l’ensemble de l’année 20</w:t>
      </w:r>
      <w:r w:rsidR="00094FFD" w:rsidRPr="005C781C">
        <w:rPr>
          <w:rFonts w:ascii="Arial" w:hAnsi="Arial" w:cs="Arial"/>
          <w:sz w:val="20"/>
          <w:szCs w:val="20"/>
        </w:rPr>
        <w:t>2</w:t>
      </w:r>
      <w:r w:rsidR="00555DC4">
        <w:rPr>
          <w:rFonts w:ascii="Arial" w:hAnsi="Arial" w:cs="Arial"/>
          <w:sz w:val="20"/>
          <w:szCs w:val="20"/>
        </w:rPr>
        <w:t>4</w:t>
      </w:r>
      <w:r w:rsidRPr="005C781C">
        <w:rPr>
          <w:rFonts w:ascii="Arial" w:hAnsi="Arial" w:cs="Arial"/>
          <w:sz w:val="20"/>
          <w:szCs w:val="20"/>
        </w:rPr>
        <w:t>. En ce qui concerne les brokers actions le résultat est le suivant :</w:t>
      </w:r>
    </w:p>
    <w:p w14:paraId="575DEF8B" w14:textId="77777777" w:rsidR="00F6495D" w:rsidRDefault="00F6495D" w:rsidP="00F6495D">
      <w:pPr>
        <w:rPr>
          <w:rFonts w:ascii="Arial" w:hAnsi="Arial" w:cs="Arial"/>
          <w:sz w:val="20"/>
          <w:szCs w:val="20"/>
        </w:rPr>
      </w:pPr>
    </w:p>
    <w:p w14:paraId="62D381C7" w14:textId="36C4EE92" w:rsidR="001C20BE" w:rsidRDefault="00F6495D" w:rsidP="00F6495D">
      <w:pPr>
        <w:rPr>
          <w:rFonts w:ascii="Arial" w:hAnsi="Arial" w:cs="Arial"/>
          <w:sz w:val="20"/>
          <w:szCs w:val="20"/>
        </w:rPr>
      </w:pPr>
      <w:r>
        <w:rPr>
          <w:rFonts w:ascii="Arial" w:hAnsi="Arial" w:cs="Arial"/>
          <w:sz w:val="20"/>
          <w:szCs w:val="20"/>
        </w:rPr>
        <w:t xml:space="preserve"> </w:t>
      </w:r>
    </w:p>
    <w:p w14:paraId="672690C6" w14:textId="77777777" w:rsidR="001C20BE" w:rsidRDefault="001C20BE" w:rsidP="001C20BE">
      <w:pPr>
        <w:jc w:val="center"/>
        <w:rPr>
          <w:rFonts w:ascii="Arial" w:hAnsi="Arial" w:cs="Arial"/>
          <w:sz w:val="20"/>
          <w:szCs w:val="20"/>
        </w:rPr>
      </w:pPr>
    </w:p>
    <w:p w14:paraId="4D8CE1D5" w14:textId="77777777" w:rsidR="001C20BE" w:rsidRDefault="001C20BE" w:rsidP="001C20BE">
      <w:pPr>
        <w:rPr>
          <w:rFonts w:ascii="Arial" w:hAnsi="Arial" w:cs="Arial"/>
          <w:i/>
          <w:sz w:val="20"/>
          <w:szCs w:val="20"/>
        </w:rPr>
      </w:pPr>
      <w:r w:rsidRPr="00091875">
        <w:rPr>
          <w:rFonts w:ascii="Arial" w:hAnsi="Arial" w:cs="Arial"/>
          <w:i/>
          <w:sz w:val="20"/>
          <w:szCs w:val="20"/>
          <w:u w:val="single"/>
        </w:rPr>
        <w:t>Rappel :</w:t>
      </w:r>
      <w:r w:rsidRPr="00091875">
        <w:rPr>
          <w:rFonts w:ascii="Arial" w:hAnsi="Arial" w:cs="Arial"/>
          <w:i/>
          <w:sz w:val="20"/>
          <w:szCs w:val="20"/>
        </w:rPr>
        <w:t xml:space="preserve"> la grille de notation est comprise entre 1 et 5 (</w:t>
      </w:r>
      <w:r>
        <w:rPr>
          <w:rFonts w:ascii="Arial" w:hAnsi="Arial" w:cs="Arial"/>
          <w:i/>
          <w:sz w:val="20"/>
          <w:szCs w:val="20"/>
        </w:rPr>
        <w:t>5 : très bon ;</w:t>
      </w:r>
      <w:r w:rsidRPr="00091875">
        <w:rPr>
          <w:rFonts w:ascii="Arial" w:hAnsi="Arial" w:cs="Arial"/>
          <w:i/>
          <w:sz w:val="20"/>
          <w:szCs w:val="20"/>
        </w:rPr>
        <w:t xml:space="preserve"> 1 : très </w:t>
      </w:r>
      <w:r>
        <w:rPr>
          <w:rFonts w:ascii="Arial" w:hAnsi="Arial" w:cs="Arial"/>
          <w:i/>
          <w:sz w:val="20"/>
          <w:szCs w:val="20"/>
        </w:rPr>
        <w:t>mauvais</w:t>
      </w:r>
      <w:r w:rsidRPr="00091875">
        <w:rPr>
          <w:rFonts w:ascii="Arial" w:hAnsi="Arial" w:cs="Arial"/>
          <w:i/>
          <w:sz w:val="20"/>
          <w:szCs w:val="20"/>
        </w:rPr>
        <w:t>)</w:t>
      </w:r>
    </w:p>
    <w:p w14:paraId="30C0836B" w14:textId="77777777" w:rsidR="001C20BE" w:rsidRDefault="001C20BE" w:rsidP="001C20BE">
      <w:pPr>
        <w:jc w:val="center"/>
        <w:rPr>
          <w:rFonts w:ascii="Arial" w:hAnsi="Arial" w:cs="Arial"/>
          <w:sz w:val="20"/>
          <w:szCs w:val="20"/>
        </w:rPr>
      </w:pPr>
    </w:p>
    <w:p w14:paraId="647E6DF2" w14:textId="14E190FC" w:rsidR="001C20BE" w:rsidRDefault="001C20BE" w:rsidP="001C20BE">
      <w:pPr>
        <w:pStyle w:val="Paragraphedeliste"/>
        <w:numPr>
          <w:ilvl w:val="0"/>
          <w:numId w:val="4"/>
        </w:numPr>
        <w:rPr>
          <w:rFonts w:ascii="Arial" w:hAnsi="Arial" w:cs="Arial"/>
          <w:sz w:val="20"/>
          <w:szCs w:val="20"/>
        </w:rPr>
      </w:pPr>
      <w:r w:rsidRPr="00C35E9B">
        <w:rPr>
          <w:rFonts w:ascii="Arial" w:hAnsi="Arial" w:cs="Arial"/>
          <w:sz w:val="20"/>
          <w:szCs w:val="20"/>
        </w:rPr>
        <w:t>La dispersion des notes moyenne est faible entre l’ensemble des brokers.</w:t>
      </w:r>
    </w:p>
    <w:p w14:paraId="2EA9C890" w14:textId="3C038AF0" w:rsidR="00A475ED" w:rsidRDefault="00A475ED" w:rsidP="001C20BE">
      <w:pPr>
        <w:pStyle w:val="Paragraphedeliste"/>
        <w:numPr>
          <w:ilvl w:val="0"/>
          <w:numId w:val="4"/>
        </w:numPr>
        <w:rPr>
          <w:rFonts w:ascii="Arial" w:hAnsi="Arial" w:cs="Arial"/>
          <w:sz w:val="20"/>
          <w:szCs w:val="20"/>
        </w:rPr>
      </w:pPr>
      <w:r>
        <w:rPr>
          <w:rFonts w:ascii="Arial" w:hAnsi="Arial" w:cs="Arial"/>
          <w:sz w:val="20"/>
          <w:szCs w:val="20"/>
        </w:rPr>
        <w:t>Sur l’ensemble des notes</w:t>
      </w:r>
      <w:r w:rsidR="003179E8">
        <w:rPr>
          <w:rFonts w:ascii="Arial" w:hAnsi="Arial" w:cs="Arial"/>
          <w:sz w:val="20"/>
          <w:szCs w:val="20"/>
        </w:rPr>
        <w:t xml:space="preserve"> distribuées en 202</w:t>
      </w:r>
      <w:r w:rsidR="000A4F5C">
        <w:rPr>
          <w:rFonts w:ascii="Arial" w:hAnsi="Arial" w:cs="Arial"/>
          <w:sz w:val="20"/>
          <w:szCs w:val="20"/>
        </w:rPr>
        <w:t>4</w:t>
      </w:r>
      <w:r w:rsidR="003179E8">
        <w:rPr>
          <w:rFonts w:ascii="Arial" w:hAnsi="Arial" w:cs="Arial"/>
          <w:sz w:val="20"/>
          <w:szCs w:val="20"/>
        </w:rPr>
        <w:t xml:space="preserve">, il </w:t>
      </w:r>
      <w:r w:rsidR="00486117">
        <w:rPr>
          <w:rFonts w:ascii="Arial" w:hAnsi="Arial" w:cs="Arial"/>
          <w:sz w:val="20"/>
          <w:szCs w:val="20"/>
        </w:rPr>
        <w:t xml:space="preserve">y </w:t>
      </w:r>
      <w:r w:rsidR="000A4F5C">
        <w:rPr>
          <w:rFonts w:ascii="Arial" w:hAnsi="Arial" w:cs="Arial"/>
          <w:sz w:val="20"/>
          <w:szCs w:val="20"/>
        </w:rPr>
        <w:t>n’y a pas eu de 1</w:t>
      </w:r>
      <w:r w:rsidR="003179E8">
        <w:rPr>
          <w:rFonts w:ascii="Arial" w:hAnsi="Arial" w:cs="Arial"/>
          <w:sz w:val="20"/>
          <w:szCs w:val="20"/>
        </w:rPr>
        <w:t xml:space="preserve"> et</w:t>
      </w:r>
      <w:r w:rsidR="00486117">
        <w:rPr>
          <w:rFonts w:ascii="Arial" w:hAnsi="Arial" w:cs="Arial"/>
          <w:sz w:val="20"/>
          <w:szCs w:val="20"/>
        </w:rPr>
        <w:t xml:space="preserve"> un</w:t>
      </w:r>
      <w:r w:rsidR="003179E8">
        <w:rPr>
          <w:rFonts w:ascii="Arial" w:hAnsi="Arial" w:cs="Arial"/>
          <w:sz w:val="20"/>
          <w:szCs w:val="20"/>
        </w:rPr>
        <w:t xml:space="preserve"> 5. </w:t>
      </w:r>
      <w:r>
        <w:rPr>
          <w:rFonts w:ascii="Arial" w:hAnsi="Arial" w:cs="Arial"/>
          <w:sz w:val="20"/>
          <w:szCs w:val="20"/>
        </w:rPr>
        <w:t xml:space="preserve">Sur les </w:t>
      </w:r>
      <w:r w:rsidR="000A4F5C">
        <w:rPr>
          <w:rFonts w:ascii="Arial" w:hAnsi="Arial" w:cs="Arial"/>
          <w:sz w:val="20"/>
          <w:szCs w:val="20"/>
        </w:rPr>
        <w:t xml:space="preserve">358 </w:t>
      </w:r>
      <w:r>
        <w:rPr>
          <w:rFonts w:ascii="Arial" w:hAnsi="Arial" w:cs="Arial"/>
          <w:sz w:val="20"/>
          <w:szCs w:val="20"/>
        </w:rPr>
        <w:t xml:space="preserve">transactions passées sur </w:t>
      </w:r>
      <w:r w:rsidR="003179E8">
        <w:rPr>
          <w:rFonts w:ascii="Arial" w:hAnsi="Arial" w:cs="Arial"/>
          <w:sz w:val="20"/>
          <w:szCs w:val="20"/>
        </w:rPr>
        <w:t>l’exercice</w:t>
      </w:r>
      <w:r>
        <w:rPr>
          <w:rFonts w:ascii="Arial" w:hAnsi="Arial" w:cs="Arial"/>
          <w:sz w:val="20"/>
          <w:szCs w:val="20"/>
        </w:rPr>
        <w:t>,</w:t>
      </w:r>
      <w:r w:rsidR="000A4F5C">
        <w:rPr>
          <w:rFonts w:ascii="Arial" w:hAnsi="Arial" w:cs="Arial"/>
          <w:sz w:val="20"/>
          <w:szCs w:val="20"/>
        </w:rPr>
        <w:t xml:space="preserve"> 313</w:t>
      </w:r>
      <w:r>
        <w:rPr>
          <w:rFonts w:ascii="Arial" w:hAnsi="Arial" w:cs="Arial"/>
          <w:sz w:val="20"/>
          <w:szCs w:val="20"/>
        </w:rPr>
        <w:t xml:space="preserve"> ont été </w:t>
      </w:r>
      <w:r w:rsidR="000A4F5C">
        <w:rPr>
          <w:rFonts w:ascii="Arial" w:hAnsi="Arial" w:cs="Arial"/>
          <w:sz w:val="20"/>
          <w:szCs w:val="20"/>
        </w:rPr>
        <w:t xml:space="preserve">passé en ordre « vwap » et on fait l’objet de notation. Sur cet échantillon on observe une distribution des notations équilibrée puisque 98 sont </w:t>
      </w:r>
      <w:r>
        <w:rPr>
          <w:rFonts w:ascii="Arial" w:hAnsi="Arial" w:cs="Arial"/>
          <w:sz w:val="20"/>
          <w:szCs w:val="20"/>
        </w:rPr>
        <w:t xml:space="preserve">notées 2 (soit </w:t>
      </w:r>
      <w:r w:rsidR="000A4F5C">
        <w:rPr>
          <w:rFonts w:ascii="Arial" w:hAnsi="Arial" w:cs="Arial"/>
          <w:sz w:val="20"/>
          <w:szCs w:val="20"/>
        </w:rPr>
        <w:t>31</w:t>
      </w:r>
      <w:r>
        <w:rPr>
          <w:rFonts w:ascii="Arial" w:hAnsi="Arial" w:cs="Arial"/>
          <w:sz w:val="20"/>
          <w:szCs w:val="20"/>
        </w:rPr>
        <w:t xml:space="preserve">% de la volumétrie) et </w:t>
      </w:r>
      <w:r w:rsidR="000A4F5C">
        <w:rPr>
          <w:rFonts w:ascii="Arial" w:hAnsi="Arial" w:cs="Arial"/>
          <w:sz w:val="20"/>
          <w:szCs w:val="20"/>
        </w:rPr>
        <w:t>100</w:t>
      </w:r>
      <w:r>
        <w:rPr>
          <w:rFonts w:ascii="Arial" w:hAnsi="Arial" w:cs="Arial"/>
          <w:sz w:val="20"/>
          <w:szCs w:val="20"/>
        </w:rPr>
        <w:t xml:space="preserve"> ont été notées 4 (soit </w:t>
      </w:r>
      <w:r w:rsidR="000A4F5C">
        <w:rPr>
          <w:rFonts w:ascii="Arial" w:hAnsi="Arial" w:cs="Arial"/>
          <w:sz w:val="20"/>
          <w:szCs w:val="20"/>
        </w:rPr>
        <w:t>31</w:t>
      </w:r>
      <w:r>
        <w:rPr>
          <w:rFonts w:ascii="Arial" w:hAnsi="Arial" w:cs="Arial"/>
          <w:sz w:val="20"/>
          <w:szCs w:val="20"/>
        </w:rPr>
        <w:t xml:space="preserve">% de la volumétrie).  </w:t>
      </w:r>
    </w:p>
    <w:p w14:paraId="2C83DFFA" w14:textId="5ED39384" w:rsidR="00E14D20" w:rsidRPr="00C35E9B" w:rsidRDefault="005C781C" w:rsidP="001C20BE">
      <w:pPr>
        <w:pStyle w:val="Paragraphedeliste"/>
        <w:numPr>
          <w:ilvl w:val="0"/>
          <w:numId w:val="4"/>
        </w:numPr>
        <w:rPr>
          <w:rFonts w:ascii="Arial" w:hAnsi="Arial" w:cs="Arial"/>
          <w:sz w:val="20"/>
          <w:szCs w:val="20"/>
        </w:rPr>
      </w:pPr>
      <w:r>
        <w:rPr>
          <w:rFonts w:ascii="Arial" w:hAnsi="Arial" w:cs="Arial"/>
          <w:sz w:val="20"/>
          <w:szCs w:val="20"/>
        </w:rPr>
        <w:t xml:space="preserve">La répartition des </w:t>
      </w:r>
      <w:r w:rsidR="000A4F5C">
        <w:rPr>
          <w:rFonts w:ascii="Arial" w:hAnsi="Arial" w:cs="Arial"/>
          <w:sz w:val="20"/>
          <w:szCs w:val="20"/>
        </w:rPr>
        <w:t>transactions</w:t>
      </w:r>
      <w:r>
        <w:rPr>
          <w:rFonts w:ascii="Arial" w:hAnsi="Arial" w:cs="Arial"/>
          <w:sz w:val="20"/>
          <w:szCs w:val="20"/>
        </w:rPr>
        <w:t xml:space="preserve"> est</w:t>
      </w:r>
      <w:r w:rsidR="00915859">
        <w:rPr>
          <w:rFonts w:ascii="Arial" w:hAnsi="Arial" w:cs="Arial"/>
          <w:sz w:val="20"/>
          <w:szCs w:val="20"/>
        </w:rPr>
        <w:t xml:space="preserve"> répartie comme suit sur </w:t>
      </w:r>
      <w:proofErr w:type="gramStart"/>
      <w:r w:rsidR="00915859">
        <w:rPr>
          <w:rFonts w:ascii="Arial" w:hAnsi="Arial" w:cs="Arial"/>
          <w:sz w:val="20"/>
          <w:szCs w:val="20"/>
        </w:rPr>
        <w:t>l’année</w:t>
      </w:r>
      <w:r>
        <w:rPr>
          <w:rFonts w:ascii="Arial" w:hAnsi="Arial" w:cs="Arial"/>
          <w:sz w:val="20"/>
          <w:szCs w:val="20"/>
        </w:rPr>
        <w:t>:</w:t>
      </w:r>
      <w:proofErr w:type="gramEnd"/>
      <w:r>
        <w:rPr>
          <w:rFonts w:ascii="Arial" w:hAnsi="Arial" w:cs="Arial"/>
          <w:sz w:val="20"/>
          <w:szCs w:val="20"/>
        </w:rPr>
        <w:t xml:space="preserve"> </w:t>
      </w:r>
      <w:r w:rsidR="00E14D20">
        <w:rPr>
          <w:rFonts w:ascii="Arial" w:hAnsi="Arial" w:cs="Arial"/>
          <w:sz w:val="20"/>
          <w:szCs w:val="20"/>
        </w:rPr>
        <w:t xml:space="preserve">KEPLER capte </w:t>
      </w:r>
      <w:r w:rsidR="00915859">
        <w:rPr>
          <w:rFonts w:ascii="Arial" w:hAnsi="Arial" w:cs="Arial"/>
          <w:sz w:val="20"/>
          <w:szCs w:val="20"/>
        </w:rPr>
        <w:t>60</w:t>
      </w:r>
      <w:r w:rsidR="00E14D20">
        <w:rPr>
          <w:rFonts w:ascii="Arial" w:hAnsi="Arial" w:cs="Arial"/>
          <w:sz w:val="20"/>
          <w:szCs w:val="20"/>
        </w:rPr>
        <w:t xml:space="preserve">% du volume de GEFIP, MERRILL </w:t>
      </w:r>
      <w:r w:rsidR="000A4F5C">
        <w:rPr>
          <w:rFonts w:ascii="Arial" w:hAnsi="Arial" w:cs="Arial"/>
          <w:sz w:val="20"/>
          <w:szCs w:val="20"/>
        </w:rPr>
        <w:t>40</w:t>
      </w:r>
      <w:r w:rsidR="0016147A">
        <w:rPr>
          <w:rFonts w:ascii="Arial" w:hAnsi="Arial" w:cs="Arial"/>
          <w:sz w:val="20"/>
          <w:szCs w:val="20"/>
        </w:rPr>
        <w:t>%</w:t>
      </w:r>
      <w:r w:rsidR="00915859">
        <w:rPr>
          <w:rFonts w:ascii="Arial" w:hAnsi="Arial" w:cs="Arial"/>
          <w:sz w:val="20"/>
          <w:szCs w:val="20"/>
        </w:rPr>
        <w:t xml:space="preserve">, </w:t>
      </w:r>
    </w:p>
    <w:p w14:paraId="50D14256" w14:textId="77777777" w:rsidR="001C20BE" w:rsidRPr="001731AD" w:rsidRDefault="001C20BE" w:rsidP="001C20BE">
      <w:pPr>
        <w:rPr>
          <w:rFonts w:ascii="Arial" w:hAnsi="Arial" w:cs="Arial"/>
          <w:sz w:val="20"/>
          <w:szCs w:val="20"/>
        </w:rPr>
      </w:pPr>
    </w:p>
    <w:p w14:paraId="06EAB284" w14:textId="2FC18894" w:rsidR="001C20BE" w:rsidRDefault="009B04E3" w:rsidP="001C20BE">
      <w:pPr>
        <w:rPr>
          <w:rFonts w:ascii="Arial" w:hAnsi="Arial" w:cs="Arial"/>
          <w:sz w:val="20"/>
          <w:szCs w:val="20"/>
        </w:rPr>
      </w:pPr>
      <w:r>
        <w:rPr>
          <w:rFonts w:ascii="Arial" w:hAnsi="Arial" w:cs="Arial"/>
          <w:sz w:val="20"/>
          <w:szCs w:val="20"/>
        </w:rPr>
        <w:t>La grille tarifaire devrait rester similaire à celle de 20</w:t>
      </w:r>
      <w:r w:rsidR="00CC630A">
        <w:rPr>
          <w:rFonts w:ascii="Arial" w:hAnsi="Arial" w:cs="Arial"/>
          <w:sz w:val="20"/>
          <w:szCs w:val="20"/>
        </w:rPr>
        <w:t>2</w:t>
      </w:r>
      <w:r w:rsidR="00555DC4">
        <w:rPr>
          <w:rFonts w:ascii="Arial" w:hAnsi="Arial" w:cs="Arial"/>
          <w:sz w:val="20"/>
          <w:szCs w:val="20"/>
        </w:rPr>
        <w:t>4</w:t>
      </w:r>
      <w:r w:rsidR="00CC630A">
        <w:rPr>
          <w:rFonts w:ascii="Arial" w:hAnsi="Arial" w:cs="Arial"/>
          <w:sz w:val="20"/>
          <w:szCs w:val="20"/>
        </w:rPr>
        <w:t xml:space="preserve"> </w:t>
      </w:r>
      <w:r>
        <w:rPr>
          <w:rFonts w:ascii="Arial" w:hAnsi="Arial" w:cs="Arial"/>
          <w:sz w:val="20"/>
          <w:szCs w:val="20"/>
        </w:rPr>
        <w:t>en 20</w:t>
      </w:r>
      <w:r w:rsidR="002A769F">
        <w:rPr>
          <w:rFonts w:ascii="Arial" w:hAnsi="Arial" w:cs="Arial"/>
          <w:sz w:val="20"/>
          <w:szCs w:val="20"/>
        </w:rPr>
        <w:t>2</w:t>
      </w:r>
      <w:r w:rsidR="00555DC4">
        <w:rPr>
          <w:rFonts w:ascii="Arial" w:hAnsi="Arial" w:cs="Arial"/>
          <w:sz w:val="20"/>
          <w:szCs w:val="20"/>
        </w:rPr>
        <w:t>3</w:t>
      </w:r>
      <w:r w:rsidR="002A769F">
        <w:rPr>
          <w:rFonts w:ascii="Arial" w:hAnsi="Arial" w:cs="Arial"/>
          <w:sz w:val="20"/>
          <w:szCs w:val="20"/>
        </w:rPr>
        <w:t xml:space="preserve"> (cf. rapport de recherche)</w:t>
      </w:r>
    </w:p>
    <w:p w14:paraId="3FF9B9E0" w14:textId="77777777" w:rsidR="00722426" w:rsidRDefault="00722426" w:rsidP="001C20BE">
      <w:pPr>
        <w:rPr>
          <w:rFonts w:ascii="Arial" w:hAnsi="Arial" w:cs="Arial"/>
          <w:sz w:val="20"/>
          <w:szCs w:val="20"/>
        </w:rPr>
      </w:pPr>
    </w:p>
    <w:p w14:paraId="3234D9EE" w14:textId="41051AE3" w:rsidR="00722426" w:rsidRPr="001731AD" w:rsidRDefault="00722426" w:rsidP="001C20BE">
      <w:pPr>
        <w:rPr>
          <w:rFonts w:ascii="Arial" w:hAnsi="Arial" w:cs="Arial"/>
          <w:b/>
          <w:sz w:val="20"/>
          <w:szCs w:val="20"/>
        </w:rPr>
      </w:pPr>
    </w:p>
    <w:p w14:paraId="74CF1A30" w14:textId="77777777" w:rsidR="001C20BE" w:rsidRPr="00160486" w:rsidRDefault="001C20BE" w:rsidP="001C20BE">
      <w:pPr>
        <w:ind w:left="720"/>
        <w:rPr>
          <w:rFonts w:ascii="Arial" w:hAnsi="Arial" w:cs="Arial"/>
          <w:b/>
          <w:sz w:val="20"/>
          <w:szCs w:val="20"/>
        </w:rPr>
      </w:pPr>
    </w:p>
    <w:p w14:paraId="482C9208" w14:textId="77777777" w:rsidR="001C20BE" w:rsidRPr="00160486" w:rsidRDefault="001C20BE" w:rsidP="001C20BE">
      <w:pPr>
        <w:ind w:left="720"/>
        <w:rPr>
          <w:rFonts w:ascii="Arial" w:hAnsi="Arial" w:cs="Arial"/>
          <w:b/>
          <w:sz w:val="20"/>
          <w:szCs w:val="20"/>
        </w:rPr>
      </w:pPr>
    </w:p>
    <w:p w14:paraId="70EB1AA4" w14:textId="6A5C9A5E" w:rsidR="001C20BE" w:rsidRDefault="001C20BE" w:rsidP="001C20BE">
      <w:pPr>
        <w:rPr>
          <w:rFonts w:ascii="Arial" w:hAnsi="Arial" w:cs="Arial"/>
          <w:sz w:val="20"/>
          <w:szCs w:val="20"/>
        </w:rPr>
      </w:pPr>
    </w:p>
    <w:p w14:paraId="0669E856" w14:textId="77777777" w:rsidR="001C20BE" w:rsidRDefault="001C20BE" w:rsidP="001C20BE">
      <w:pPr>
        <w:rPr>
          <w:rFonts w:ascii="Arial" w:hAnsi="Arial" w:cs="Arial"/>
          <w:sz w:val="20"/>
          <w:szCs w:val="20"/>
        </w:rPr>
      </w:pPr>
    </w:p>
    <w:p w14:paraId="2802EE4E" w14:textId="77777777" w:rsidR="001C20BE" w:rsidRDefault="001C20BE" w:rsidP="00722426">
      <w:pPr>
        <w:spacing w:after="160" w:line="259" w:lineRule="auto"/>
        <w:rPr>
          <w:rFonts w:ascii="Arial" w:hAnsi="Arial" w:cs="Arial"/>
          <w:sz w:val="20"/>
          <w:szCs w:val="20"/>
        </w:rPr>
      </w:pPr>
      <w:r>
        <w:rPr>
          <w:rFonts w:ascii="Arial" w:hAnsi="Arial" w:cs="Arial"/>
          <w:sz w:val="20"/>
          <w:szCs w:val="20"/>
        </w:rPr>
        <w:br w:type="page"/>
      </w:r>
    </w:p>
    <w:p w14:paraId="137CEF9E" w14:textId="77777777" w:rsidR="002C55BC" w:rsidRPr="00A57D3D" w:rsidRDefault="002C55BC" w:rsidP="002C55BC">
      <w:pPr>
        <w:ind w:left="720"/>
        <w:jc w:val="both"/>
        <w:rPr>
          <w:rFonts w:ascii="Arial" w:hAnsi="Arial" w:cs="Arial"/>
          <w:b/>
          <w:sz w:val="20"/>
          <w:szCs w:val="20"/>
        </w:rPr>
      </w:pPr>
      <w:r w:rsidRPr="00FA58DA">
        <w:rPr>
          <w:rFonts w:ascii="Arial" w:hAnsi="Arial" w:cs="Arial"/>
          <w:b/>
          <w:sz w:val="20"/>
          <w:szCs w:val="20"/>
        </w:rPr>
        <w:lastRenderedPageBreak/>
        <w:t>II - Activité obligataire :</w:t>
      </w:r>
    </w:p>
    <w:p w14:paraId="3B014C9A" w14:textId="77777777" w:rsidR="002C55BC" w:rsidRPr="00A57D3D" w:rsidRDefault="002C55BC" w:rsidP="002C55BC">
      <w:pPr>
        <w:jc w:val="both"/>
        <w:rPr>
          <w:rFonts w:ascii="Arial" w:hAnsi="Arial" w:cs="Arial"/>
          <w:b/>
          <w:sz w:val="20"/>
          <w:szCs w:val="20"/>
        </w:rPr>
      </w:pPr>
    </w:p>
    <w:p w14:paraId="3BE47F5F" w14:textId="77777777" w:rsidR="002C55BC" w:rsidRPr="00A57D3D" w:rsidRDefault="002C55BC" w:rsidP="002C55BC">
      <w:pPr>
        <w:jc w:val="both"/>
        <w:rPr>
          <w:rFonts w:ascii="Arial" w:hAnsi="Arial" w:cs="Arial"/>
          <w:b/>
          <w:sz w:val="20"/>
          <w:szCs w:val="20"/>
        </w:rPr>
      </w:pPr>
    </w:p>
    <w:p w14:paraId="3818447A" w14:textId="77777777" w:rsidR="00AE5E07" w:rsidRDefault="00AE5E07" w:rsidP="00AE5E07">
      <w:pPr>
        <w:jc w:val="both"/>
        <w:rPr>
          <w:rFonts w:ascii="Arial" w:hAnsi="Arial" w:cs="Arial"/>
          <w:sz w:val="20"/>
          <w:szCs w:val="20"/>
        </w:rPr>
      </w:pPr>
      <w:r w:rsidRPr="00A57D3D">
        <w:rPr>
          <w:rFonts w:ascii="Arial" w:hAnsi="Arial" w:cs="Arial"/>
          <w:sz w:val="20"/>
          <w:szCs w:val="20"/>
        </w:rPr>
        <w:t>En 202</w:t>
      </w:r>
      <w:r>
        <w:rPr>
          <w:rFonts w:ascii="Arial" w:hAnsi="Arial" w:cs="Arial"/>
          <w:sz w:val="20"/>
          <w:szCs w:val="20"/>
        </w:rPr>
        <w:t>4</w:t>
      </w:r>
      <w:r w:rsidRPr="00A57D3D">
        <w:rPr>
          <w:rFonts w:ascii="Arial" w:hAnsi="Arial" w:cs="Arial"/>
          <w:sz w:val="20"/>
          <w:szCs w:val="20"/>
        </w:rPr>
        <w:t xml:space="preserve">, les fonds GEFIP ont négocié pour </w:t>
      </w:r>
      <w:r>
        <w:rPr>
          <w:rFonts w:ascii="Arial" w:hAnsi="Arial" w:cs="Arial"/>
          <w:sz w:val="20"/>
          <w:szCs w:val="20"/>
        </w:rPr>
        <w:t xml:space="preserve">environ 216.4 </w:t>
      </w:r>
      <w:r w:rsidRPr="00A57D3D">
        <w:rPr>
          <w:rFonts w:ascii="Arial" w:hAnsi="Arial" w:cs="Arial"/>
          <w:sz w:val="20"/>
          <w:szCs w:val="20"/>
        </w:rPr>
        <w:t xml:space="preserve">millions d’euros d’obligations, ce qui représente une </w:t>
      </w:r>
      <w:r>
        <w:rPr>
          <w:rFonts w:ascii="Arial" w:hAnsi="Arial" w:cs="Arial"/>
          <w:sz w:val="20"/>
          <w:szCs w:val="20"/>
        </w:rPr>
        <w:t>forte hausse</w:t>
      </w:r>
      <w:r w:rsidRPr="00A57D3D">
        <w:rPr>
          <w:rFonts w:ascii="Arial" w:hAnsi="Arial" w:cs="Arial"/>
          <w:sz w:val="20"/>
          <w:szCs w:val="20"/>
        </w:rPr>
        <w:t xml:space="preserve"> du volume </w:t>
      </w:r>
      <w:r>
        <w:rPr>
          <w:rFonts w:ascii="Arial" w:hAnsi="Arial" w:cs="Arial"/>
          <w:sz w:val="20"/>
          <w:szCs w:val="20"/>
        </w:rPr>
        <w:t>traité</w:t>
      </w:r>
      <w:r w:rsidRPr="00A57D3D">
        <w:rPr>
          <w:rFonts w:ascii="Arial" w:hAnsi="Arial" w:cs="Arial"/>
          <w:sz w:val="20"/>
          <w:szCs w:val="20"/>
        </w:rPr>
        <w:t xml:space="preserve"> </w:t>
      </w:r>
      <w:r>
        <w:rPr>
          <w:rFonts w:ascii="Arial" w:hAnsi="Arial" w:cs="Arial"/>
          <w:sz w:val="20"/>
          <w:szCs w:val="20"/>
        </w:rPr>
        <w:t>par rapport à 2023</w:t>
      </w:r>
      <w:r w:rsidRPr="00A57D3D">
        <w:rPr>
          <w:rFonts w:ascii="Arial" w:hAnsi="Arial" w:cs="Arial"/>
          <w:sz w:val="20"/>
          <w:szCs w:val="20"/>
        </w:rPr>
        <w:t xml:space="preserve"> : </w:t>
      </w:r>
      <w:r>
        <w:rPr>
          <w:rFonts w:ascii="Arial" w:hAnsi="Arial" w:cs="Arial"/>
          <w:sz w:val="20"/>
          <w:szCs w:val="20"/>
        </w:rPr>
        <w:t xml:space="preserve">+63.2% par rapport aux </w:t>
      </w:r>
      <w:r w:rsidRPr="00A57D3D">
        <w:rPr>
          <w:rFonts w:ascii="Arial" w:hAnsi="Arial" w:cs="Arial"/>
          <w:sz w:val="20"/>
          <w:szCs w:val="20"/>
        </w:rPr>
        <w:t>1</w:t>
      </w:r>
      <w:r>
        <w:rPr>
          <w:rFonts w:ascii="Arial" w:hAnsi="Arial" w:cs="Arial"/>
          <w:sz w:val="20"/>
          <w:szCs w:val="20"/>
        </w:rPr>
        <w:t xml:space="preserve">32.6 millions d’euros traités l’année passée. </w:t>
      </w:r>
    </w:p>
    <w:p w14:paraId="45849682" w14:textId="77777777" w:rsidR="00AE5E07" w:rsidRPr="00A57D3D" w:rsidRDefault="00AE5E07" w:rsidP="00AE5E07">
      <w:pPr>
        <w:jc w:val="both"/>
        <w:rPr>
          <w:rFonts w:ascii="Arial" w:hAnsi="Arial" w:cs="Arial"/>
          <w:sz w:val="20"/>
          <w:szCs w:val="20"/>
        </w:rPr>
      </w:pPr>
      <w:r>
        <w:rPr>
          <w:rFonts w:ascii="Arial" w:hAnsi="Arial" w:cs="Arial"/>
          <w:sz w:val="20"/>
          <w:szCs w:val="20"/>
        </w:rPr>
        <w:t xml:space="preserve">Il convient de rappeler que la base de comparaison était particulièrement faible ; par rapport à l’année 2022 le montant d’obligations traitées en 2024 est relativement proche – il s’inscrit même en déclin de 3%. </w:t>
      </w:r>
    </w:p>
    <w:p w14:paraId="21F6BF5D" w14:textId="77777777" w:rsidR="00AE5E07" w:rsidRPr="00A57D3D" w:rsidRDefault="00AE5E07" w:rsidP="00AE5E07">
      <w:pPr>
        <w:jc w:val="both"/>
        <w:rPr>
          <w:rFonts w:ascii="Arial" w:hAnsi="Arial" w:cs="Arial"/>
          <w:sz w:val="20"/>
          <w:szCs w:val="20"/>
        </w:rPr>
      </w:pPr>
      <w:r w:rsidRPr="00A57D3D">
        <w:rPr>
          <w:rFonts w:ascii="Arial" w:hAnsi="Arial" w:cs="Arial"/>
          <w:sz w:val="20"/>
          <w:szCs w:val="20"/>
        </w:rPr>
        <w:t xml:space="preserve">Cette </w:t>
      </w:r>
      <w:r>
        <w:rPr>
          <w:rFonts w:ascii="Arial" w:hAnsi="Arial" w:cs="Arial"/>
          <w:sz w:val="20"/>
          <w:szCs w:val="20"/>
        </w:rPr>
        <w:t>hausse des volumes par rapport à 2023</w:t>
      </w:r>
      <w:r w:rsidRPr="00A57D3D">
        <w:rPr>
          <w:rFonts w:ascii="Arial" w:hAnsi="Arial" w:cs="Arial"/>
          <w:sz w:val="20"/>
          <w:szCs w:val="20"/>
        </w:rPr>
        <w:t xml:space="preserve"> s’explique par :</w:t>
      </w:r>
    </w:p>
    <w:p w14:paraId="121806A3" w14:textId="77777777" w:rsidR="00AE5E07" w:rsidRPr="00F96781" w:rsidRDefault="00AE5E07" w:rsidP="00AE5E07">
      <w:pPr>
        <w:jc w:val="both"/>
        <w:rPr>
          <w:rFonts w:ascii="Arial" w:hAnsi="Arial" w:cs="Arial"/>
          <w:sz w:val="20"/>
          <w:szCs w:val="20"/>
        </w:rPr>
      </w:pPr>
    </w:p>
    <w:p w14:paraId="3EC3695E" w14:textId="77777777" w:rsidR="00AE5E07" w:rsidRPr="00A57D3D" w:rsidRDefault="00AE5E07" w:rsidP="00AE5E07">
      <w:pPr>
        <w:pStyle w:val="Paragraphedeliste"/>
        <w:numPr>
          <w:ilvl w:val="0"/>
          <w:numId w:val="5"/>
        </w:numPr>
        <w:jc w:val="both"/>
        <w:rPr>
          <w:rFonts w:ascii="Arial" w:hAnsi="Arial" w:cs="Arial"/>
          <w:sz w:val="20"/>
          <w:szCs w:val="20"/>
        </w:rPr>
      </w:pPr>
      <w:proofErr w:type="gramStart"/>
      <w:r w:rsidRPr="00A57D3D">
        <w:rPr>
          <w:rFonts w:ascii="Arial" w:hAnsi="Arial" w:cs="Arial"/>
          <w:sz w:val="20"/>
          <w:szCs w:val="20"/>
        </w:rPr>
        <w:t>une</w:t>
      </w:r>
      <w:proofErr w:type="gramEnd"/>
      <w:r w:rsidRPr="00A57D3D">
        <w:rPr>
          <w:rFonts w:ascii="Arial" w:hAnsi="Arial" w:cs="Arial"/>
          <w:sz w:val="20"/>
          <w:szCs w:val="20"/>
        </w:rPr>
        <w:t xml:space="preserve"> allocation privilégiant</w:t>
      </w:r>
      <w:r>
        <w:rPr>
          <w:rFonts w:ascii="Arial" w:hAnsi="Arial" w:cs="Arial"/>
          <w:sz w:val="20"/>
          <w:szCs w:val="20"/>
        </w:rPr>
        <w:t xml:space="preserve"> la classe d’actif obligataire au sein de GEFIP Patrimonial, surpondérée au détriment d</w:t>
      </w:r>
      <w:r w:rsidRPr="00A57D3D">
        <w:rPr>
          <w:rFonts w:ascii="Arial" w:hAnsi="Arial" w:cs="Arial"/>
          <w:sz w:val="20"/>
          <w:szCs w:val="20"/>
        </w:rPr>
        <w:t xml:space="preserve">es actions sur les fonds patrimoniaux, </w:t>
      </w:r>
      <w:r>
        <w:rPr>
          <w:rFonts w:ascii="Arial" w:hAnsi="Arial" w:cs="Arial"/>
          <w:sz w:val="20"/>
          <w:szCs w:val="20"/>
        </w:rPr>
        <w:t>notamment grâce à la hausse des rendements obligataires</w:t>
      </w:r>
      <w:r w:rsidRPr="00A57D3D">
        <w:rPr>
          <w:rFonts w:ascii="Arial" w:hAnsi="Arial" w:cs="Arial"/>
          <w:sz w:val="20"/>
          <w:szCs w:val="20"/>
        </w:rPr>
        <w:t>,</w:t>
      </w:r>
    </w:p>
    <w:p w14:paraId="69ADFFEE" w14:textId="77777777" w:rsidR="00AE5E07" w:rsidRPr="00A57D3D" w:rsidRDefault="00AE5E07" w:rsidP="00AE5E07">
      <w:pPr>
        <w:pStyle w:val="Paragraphedeliste"/>
        <w:ind w:left="720"/>
        <w:jc w:val="both"/>
        <w:rPr>
          <w:rFonts w:ascii="Arial" w:hAnsi="Arial" w:cs="Arial"/>
          <w:sz w:val="20"/>
          <w:szCs w:val="20"/>
        </w:rPr>
      </w:pPr>
    </w:p>
    <w:p w14:paraId="534043EC" w14:textId="77777777" w:rsidR="00AE5E07" w:rsidRPr="00A57D3D" w:rsidRDefault="00AE5E07" w:rsidP="00AE5E07">
      <w:pPr>
        <w:pStyle w:val="Paragraphedeliste"/>
        <w:numPr>
          <w:ilvl w:val="0"/>
          <w:numId w:val="5"/>
        </w:numPr>
        <w:jc w:val="both"/>
        <w:rPr>
          <w:rFonts w:ascii="Arial" w:hAnsi="Arial" w:cs="Arial"/>
          <w:sz w:val="20"/>
          <w:szCs w:val="20"/>
        </w:rPr>
      </w:pPr>
      <w:proofErr w:type="gramStart"/>
      <w:r w:rsidRPr="00A57D3D">
        <w:rPr>
          <w:rFonts w:ascii="Arial" w:hAnsi="Arial" w:cs="Arial"/>
          <w:sz w:val="20"/>
          <w:szCs w:val="20"/>
        </w:rPr>
        <w:t>une</w:t>
      </w:r>
      <w:proofErr w:type="gramEnd"/>
      <w:r w:rsidRPr="00A57D3D">
        <w:rPr>
          <w:rFonts w:ascii="Arial" w:hAnsi="Arial" w:cs="Arial"/>
          <w:sz w:val="20"/>
          <w:szCs w:val="20"/>
        </w:rPr>
        <w:t xml:space="preserve"> </w:t>
      </w:r>
      <w:r>
        <w:rPr>
          <w:rFonts w:ascii="Arial" w:hAnsi="Arial" w:cs="Arial"/>
          <w:sz w:val="20"/>
          <w:szCs w:val="20"/>
        </w:rPr>
        <w:t>duration très courte privilégiant les obligations à court terme au sein des fonds patrimoniaux, nécessitant des réinvestissements réguliers notamment sur des obligations souveraines. Environ 147 millions d’euros ont été investis sur des obligations de maturité 2024, qui ont donc dû être réinvesties – 59 millions d’euros d’obligations ont été investies sur des maturités 2025.</w:t>
      </w:r>
      <w:r w:rsidRPr="00A57D3D">
        <w:rPr>
          <w:rFonts w:ascii="Arial" w:hAnsi="Arial" w:cs="Arial"/>
          <w:sz w:val="20"/>
          <w:szCs w:val="20"/>
        </w:rPr>
        <w:t xml:space="preserve"> </w:t>
      </w:r>
    </w:p>
    <w:p w14:paraId="637A953D" w14:textId="77777777" w:rsidR="00AE5E07" w:rsidRDefault="00AE5E07" w:rsidP="00AE5E07">
      <w:pPr>
        <w:rPr>
          <w:rFonts w:ascii="Arial" w:hAnsi="Arial" w:cs="Arial"/>
          <w:sz w:val="20"/>
          <w:szCs w:val="20"/>
        </w:rPr>
      </w:pPr>
    </w:p>
    <w:p w14:paraId="70BC4390" w14:textId="77777777" w:rsidR="00AE5E07" w:rsidRPr="00F96781" w:rsidRDefault="00AE5E07" w:rsidP="00AE5E07">
      <w:pPr>
        <w:jc w:val="both"/>
        <w:rPr>
          <w:rFonts w:ascii="Arial" w:hAnsi="Arial" w:cs="Arial"/>
          <w:sz w:val="20"/>
          <w:szCs w:val="20"/>
        </w:rPr>
      </w:pPr>
      <w:r w:rsidRPr="00F96781">
        <w:rPr>
          <w:rFonts w:ascii="Arial" w:hAnsi="Arial" w:cs="Arial"/>
          <w:sz w:val="20"/>
          <w:szCs w:val="20"/>
        </w:rPr>
        <w:t>A</w:t>
      </w:r>
      <w:r>
        <w:rPr>
          <w:rFonts w:ascii="Arial" w:hAnsi="Arial" w:cs="Arial"/>
          <w:sz w:val="20"/>
          <w:szCs w:val="20"/>
        </w:rPr>
        <w:t xml:space="preserve"> contrario,</w:t>
      </w:r>
      <w:r w:rsidRPr="00F96781">
        <w:rPr>
          <w:rFonts w:ascii="Arial" w:hAnsi="Arial" w:cs="Arial"/>
          <w:sz w:val="20"/>
          <w:szCs w:val="20"/>
        </w:rPr>
        <w:t xml:space="preserve"> </w:t>
      </w:r>
      <w:r>
        <w:rPr>
          <w:rFonts w:ascii="Arial" w:hAnsi="Arial" w:cs="Arial"/>
          <w:sz w:val="20"/>
          <w:szCs w:val="20"/>
        </w:rPr>
        <w:t>le</w:t>
      </w:r>
      <w:r w:rsidRPr="00F96781">
        <w:rPr>
          <w:rFonts w:ascii="Arial" w:hAnsi="Arial" w:cs="Arial"/>
          <w:sz w:val="20"/>
          <w:szCs w:val="20"/>
        </w:rPr>
        <w:t xml:space="preserve"> fonds GEFIP OBLIGATIONS 2025 </w:t>
      </w:r>
      <w:r>
        <w:rPr>
          <w:rFonts w:ascii="Arial" w:hAnsi="Arial" w:cs="Arial"/>
          <w:sz w:val="20"/>
          <w:szCs w:val="20"/>
        </w:rPr>
        <w:t xml:space="preserve">créé </w:t>
      </w:r>
      <w:r w:rsidRPr="00F96781">
        <w:rPr>
          <w:rFonts w:ascii="Arial" w:hAnsi="Arial" w:cs="Arial"/>
          <w:sz w:val="20"/>
          <w:szCs w:val="20"/>
        </w:rPr>
        <w:t>en novembre 2022 a</w:t>
      </w:r>
      <w:r>
        <w:rPr>
          <w:rFonts w:ascii="Arial" w:hAnsi="Arial" w:cs="Arial"/>
          <w:sz w:val="20"/>
          <w:szCs w:val="20"/>
        </w:rPr>
        <w:t>vait</w:t>
      </w:r>
      <w:r w:rsidRPr="00F96781">
        <w:rPr>
          <w:rFonts w:ascii="Arial" w:hAnsi="Arial" w:cs="Arial"/>
          <w:sz w:val="20"/>
          <w:szCs w:val="20"/>
        </w:rPr>
        <w:t xml:space="preserve"> poursuivi sa phase de collecte </w:t>
      </w:r>
      <w:r>
        <w:rPr>
          <w:rFonts w:ascii="Arial" w:hAnsi="Arial" w:cs="Arial"/>
          <w:sz w:val="20"/>
          <w:szCs w:val="20"/>
        </w:rPr>
        <w:t xml:space="preserve">en 2023 pour représenter un volume traité de 33M€, donnant lieu à un net déclin en 2024 avec seulement 2.5M€ d’activité sur les marchés obligataires répartis sur 8 </w:t>
      </w:r>
      <w:proofErr w:type="spellStart"/>
      <w:r>
        <w:rPr>
          <w:rFonts w:ascii="Arial" w:hAnsi="Arial" w:cs="Arial"/>
          <w:sz w:val="20"/>
          <w:szCs w:val="20"/>
        </w:rPr>
        <w:t>trades</w:t>
      </w:r>
      <w:proofErr w:type="spellEnd"/>
      <w:r>
        <w:rPr>
          <w:rFonts w:ascii="Arial" w:hAnsi="Arial" w:cs="Arial"/>
          <w:sz w:val="20"/>
          <w:szCs w:val="20"/>
        </w:rPr>
        <w:t xml:space="preserve">. </w:t>
      </w:r>
    </w:p>
    <w:p w14:paraId="0178D591" w14:textId="77777777" w:rsidR="00AE5E07" w:rsidRDefault="00AE5E07" w:rsidP="00AE5E07">
      <w:pPr>
        <w:rPr>
          <w:rFonts w:ascii="Arial" w:hAnsi="Arial" w:cs="Arial"/>
          <w:sz w:val="20"/>
          <w:szCs w:val="20"/>
        </w:rPr>
      </w:pPr>
    </w:p>
    <w:p w14:paraId="13A5BEAC" w14:textId="77777777" w:rsidR="00AE5E07" w:rsidRPr="009A4BB8" w:rsidRDefault="00AE5E07" w:rsidP="00AE5E07">
      <w:pPr>
        <w:rPr>
          <w:rFonts w:ascii="Arial" w:hAnsi="Arial" w:cs="Arial"/>
          <w:sz w:val="20"/>
          <w:szCs w:val="20"/>
        </w:rPr>
      </w:pPr>
    </w:p>
    <w:tbl>
      <w:tblPr>
        <w:tblW w:w="9891" w:type="dxa"/>
        <w:tblCellMar>
          <w:left w:w="70" w:type="dxa"/>
          <w:right w:w="70" w:type="dxa"/>
        </w:tblCellMar>
        <w:tblLook w:val="04A0" w:firstRow="1" w:lastRow="0" w:firstColumn="1" w:lastColumn="0" w:noHBand="0" w:noVBand="1"/>
      </w:tblPr>
      <w:tblGrid>
        <w:gridCol w:w="1993"/>
        <w:gridCol w:w="1572"/>
        <w:gridCol w:w="1703"/>
        <w:gridCol w:w="2016"/>
        <w:gridCol w:w="2607"/>
      </w:tblGrid>
      <w:tr w:rsidR="00AE5E07" w14:paraId="77DBFC42" w14:textId="77777777" w:rsidTr="00695632">
        <w:trPr>
          <w:trHeight w:val="329"/>
        </w:trPr>
        <w:tc>
          <w:tcPr>
            <w:tcW w:w="1993"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5890794B" w14:textId="77777777" w:rsidR="00AE5E07" w:rsidRDefault="00AE5E07" w:rsidP="00695632">
            <w:pPr>
              <w:rPr>
                <w:rFonts w:ascii="Calibri" w:hAnsi="Calibri" w:cs="Calibri"/>
                <w:b/>
                <w:bCs/>
                <w:color w:val="000000"/>
                <w:sz w:val="22"/>
                <w:szCs w:val="22"/>
              </w:rPr>
            </w:pPr>
            <w:r>
              <w:rPr>
                <w:rFonts w:ascii="Calibri" w:hAnsi="Calibri" w:cs="Calibri"/>
                <w:b/>
                <w:bCs/>
                <w:color w:val="000000"/>
                <w:sz w:val="22"/>
                <w:szCs w:val="22"/>
              </w:rPr>
              <w:t>Broker</w:t>
            </w:r>
          </w:p>
        </w:tc>
        <w:tc>
          <w:tcPr>
            <w:tcW w:w="1572" w:type="dxa"/>
            <w:tcBorders>
              <w:top w:val="single" w:sz="8" w:space="0" w:color="auto"/>
              <w:left w:val="nil"/>
              <w:bottom w:val="single" w:sz="8" w:space="0" w:color="auto"/>
              <w:right w:val="nil"/>
            </w:tcBorders>
            <w:shd w:val="clear" w:color="000000" w:fill="FFFFFF"/>
            <w:noWrap/>
            <w:vAlign w:val="bottom"/>
            <w:hideMark/>
          </w:tcPr>
          <w:p w14:paraId="398A090D" w14:textId="77777777" w:rsidR="00AE5E07" w:rsidRDefault="00AE5E07" w:rsidP="00695632">
            <w:pPr>
              <w:jc w:val="center"/>
              <w:rPr>
                <w:rFonts w:ascii="Calibri" w:hAnsi="Calibri" w:cs="Calibri"/>
                <w:b/>
                <w:bCs/>
                <w:color w:val="000000"/>
                <w:sz w:val="22"/>
                <w:szCs w:val="22"/>
              </w:rPr>
            </w:pPr>
            <w:r>
              <w:rPr>
                <w:rFonts w:ascii="Calibri" w:hAnsi="Calibri" w:cs="Calibri"/>
                <w:b/>
                <w:bCs/>
                <w:color w:val="000000"/>
                <w:sz w:val="22"/>
                <w:szCs w:val="22"/>
              </w:rPr>
              <w:t>Note moyenne</w:t>
            </w:r>
          </w:p>
        </w:tc>
        <w:tc>
          <w:tcPr>
            <w:tcW w:w="1703" w:type="dxa"/>
            <w:tcBorders>
              <w:top w:val="single" w:sz="8" w:space="0" w:color="auto"/>
              <w:left w:val="nil"/>
              <w:bottom w:val="single" w:sz="8" w:space="0" w:color="auto"/>
              <w:right w:val="nil"/>
            </w:tcBorders>
            <w:shd w:val="clear" w:color="000000" w:fill="FFFFFF"/>
            <w:noWrap/>
            <w:vAlign w:val="bottom"/>
            <w:hideMark/>
          </w:tcPr>
          <w:p w14:paraId="7F8A0EF0" w14:textId="77777777" w:rsidR="00AE5E07" w:rsidRDefault="00AE5E07" w:rsidP="00695632">
            <w:pPr>
              <w:jc w:val="center"/>
              <w:rPr>
                <w:rFonts w:ascii="Calibri" w:hAnsi="Calibri" w:cs="Calibri"/>
                <w:b/>
                <w:bCs/>
                <w:color w:val="000000"/>
                <w:sz w:val="22"/>
                <w:szCs w:val="22"/>
              </w:rPr>
            </w:pPr>
            <w:r>
              <w:rPr>
                <w:rFonts w:ascii="Calibri" w:hAnsi="Calibri" w:cs="Calibri"/>
                <w:b/>
                <w:bCs/>
                <w:color w:val="000000"/>
                <w:sz w:val="22"/>
                <w:szCs w:val="22"/>
              </w:rPr>
              <w:t>Montant traité</w:t>
            </w:r>
          </w:p>
        </w:tc>
        <w:tc>
          <w:tcPr>
            <w:tcW w:w="2016" w:type="dxa"/>
            <w:tcBorders>
              <w:top w:val="single" w:sz="8" w:space="0" w:color="auto"/>
              <w:left w:val="nil"/>
              <w:bottom w:val="single" w:sz="8" w:space="0" w:color="auto"/>
              <w:right w:val="nil"/>
            </w:tcBorders>
            <w:shd w:val="clear" w:color="000000" w:fill="FFFFFF"/>
            <w:noWrap/>
            <w:vAlign w:val="bottom"/>
            <w:hideMark/>
          </w:tcPr>
          <w:p w14:paraId="6E6BF782" w14:textId="77777777" w:rsidR="00AE5E07" w:rsidRDefault="00AE5E07" w:rsidP="00695632">
            <w:pPr>
              <w:jc w:val="center"/>
              <w:rPr>
                <w:rFonts w:ascii="Calibri" w:hAnsi="Calibri" w:cs="Calibri"/>
                <w:b/>
                <w:bCs/>
                <w:color w:val="000000"/>
                <w:sz w:val="22"/>
                <w:szCs w:val="22"/>
              </w:rPr>
            </w:pPr>
            <w:r>
              <w:rPr>
                <w:rFonts w:ascii="Calibri" w:hAnsi="Calibri" w:cs="Calibri"/>
                <w:b/>
                <w:bCs/>
                <w:color w:val="000000"/>
                <w:sz w:val="22"/>
                <w:szCs w:val="22"/>
              </w:rPr>
              <w:t>Nombre de tickets</w:t>
            </w:r>
          </w:p>
        </w:tc>
        <w:tc>
          <w:tcPr>
            <w:tcW w:w="2607" w:type="dxa"/>
            <w:tcBorders>
              <w:top w:val="single" w:sz="8" w:space="0" w:color="auto"/>
              <w:left w:val="nil"/>
              <w:bottom w:val="single" w:sz="8" w:space="0" w:color="auto"/>
              <w:right w:val="single" w:sz="8" w:space="0" w:color="auto"/>
            </w:tcBorders>
            <w:shd w:val="clear" w:color="000000" w:fill="FFFFFF"/>
            <w:noWrap/>
            <w:vAlign w:val="bottom"/>
            <w:hideMark/>
          </w:tcPr>
          <w:p w14:paraId="3F032CD7" w14:textId="77777777" w:rsidR="00AE5E07" w:rsidRDefault="00AE5E07" w:rsidP="00695632">
            <w:pPr>
              <w:jc w:val="center"/>
              <w:rPr>
                <w:rFonts w:ascii="Calibri" w:hAnsi="Calibri" w:cs="Calibri"/>
                <w:b/>
                <w:bCs/>
                <w:color w:val="000000"/>
                <w:sz w:val="22"/>
                <w:szCs w:val="22"/>
              </w:rPr>
            </w:pPr>
            <w:r>
              <w:rPr>
                <w:rFonts w:ascii="Calibri" w:hAnsi="Calibri" w:cs="Calibri"/>
                <w:b/>
                <w:bCs/>
                <w:color w:val="000000"/>
                <w:sz w:val="22"/>
                <w:szCs w:val="22"/>
              </w:rPr>
              <w:t xml:space="preserve">Montant moyen par </w:t>
            </w:r>
            <w:proofErr w:type="spellStart"/>
            <w:r>
              <w:rPr>
                <w:rFonts w:ascii="Calibri" w:hAnsi="Calibri" w:cs="Calibri"/>
                <w:b/>
                <w:bCs/>
                <w:color w:val="000000"/>
                <w:sz w:val="22"/>
                <w:szCs w:val="22"/>
              </w:rPr>
              <w:t>trade</w:t>
            </w:r>
            <w:proofErr w:type="spellEnd"/>
          </w:p>
        </w:tc>
      </w:tr>
      <w:tr w:rsidR="00AE5E07" w14:paraId="587F8F2A" w14:textId="77777777" w:rsidTr="00695632">
        <w:trPr>
          <w:trHeight w:val="313"/>
        </w:trPr>
        <w:tc>
          <w:tcPr>
            <w:tcW w:w="1993" w:type="dxa"/>
            <w:tcBorders>
              <w:top w:val="nil"/>
              <w:left w:val="single" w:sz="8" w:space="0" w:color="auto"/>
              <w:bottom w:val="nil"/>
              <w:right w:val="single" w:sz="8" w:space="0" w:color="auto"/>
            </w:tcBorders>
            <w:shd w:val="clear" w:color="000000" w:fill="FFFFFF"/>
            <w:noWrap/>
            <w:vAlign w:val="bottom"/>
            <w:hideMark/>
          </w:tcPr>
          <w:p w14:paraId="4D696D1B" w14:textId="77777777" w:rsidR="00AE5E07" w:rsidRDefault="00AE5E07" w:rsidP="00695632">
            <w:pPr>
              <w:rPr>
                <w:rFonts w:ascii="Calibri" w:hAnsi="Calibri" w:cs="Calibri"/>
                <w:color w:val="000000"/>
                <w:sz w:val="22"/>
                <w:szCs w:val="22"/>
              </w:rPr>
            </w:pPr>
            <w:r>
              <w:rPr>
                <w:rFonts w:ascii="Calibri" w:hAnsi="Calibri" w:cs="Calibri"/>
                <w:color w:val="000000"/>
                <w:sz w:val="22"/>
                <w:szCs w:val="22"/>
              </w:rPr>
              <w:t>BANK OF AMERICA</w:t>
            </w:r>
          </w:p>
        </w:tc>
        <w:tc>
          <w:tcPr>
            <w:tcW w:w="1572" w:type="dxa"/>
            <w:tcBorders>
              <w:top w:val="nil"/>
              <w:left w:val="nil"/>
              <w:bottom w:val="nil"/>
              <w:right w:val="nil"/>
            </w:tcBorders>
            <w:shd w:val="clear" w:color="000000" w:fill="FFFFFF"/>
            <w:noWrap/>
            <w:vAlign w:val="bottom"/>
            <w:hideMark/>
          </w:tcPr>
          <w:p w14:paraId="608B8BD5" w14:textId="77777777" w:rsidR="00AE5E07" w:rsidRDefault="00AE5E07" w:rsidP="00695632">
            <w:pPr>
              <w:jc w:val="center"/>
              <w:rPr>
                <w:rFonts w:ascii="Calibri" w:hAnsi="Calibri" w:cs="Calibri"/>
                <w:color w:val="000000"/>
                <w:sz w:val="22"/>
                <w:szCs w:val="22"/>
              </w:rPr>
            </w:pPr>
            <w:r>
              <w:rPr>
                <w:rFonts w:ascii="Calibri" w:hAnsi="Calibri" w:cs="Calibri"/>
                <w:color w:val="000000"/>
                <w:sz w:val="22"/>
                <w:szCs w:val="22"/>
              </w:rPr>
              <w:t>3,29</w:t>
            </w:r>
          </w:p>
        </w:tc>
        <w:tc>
          <w:tcPr>
            <w:tcW w:w="1703" w:type="dxa"/>
            <w:tcBorders>
              <w:top w:val="nil"/>
              <w:left w:val="nil"/>
              <w:bottom w:val="nil"/>
              <w:right w:val="nil"/>
            </w:tcBorders>
            <w:shd w:val="clear" w:color="000000" w:fill="FFFFFF"/>
            <w:noWrap/>
            <w:vAlign w:val="bottom"/>
            <w:hideMark/>
          </w:tcPr>
          <w:p w14:paraId="64806137" w14:textId="77777777" w:rsidR="00AE5E07" w:rsidRDefault="00AE5E07" w:rsidP="00695632">
            <w:pPr>
              <w:jc w:val="center"/>
              <w:rPr>
                <w:rFonts w:ascii="Calibri" w:hAnsi="Calibri" w:cs="Calibri"/>
                <w:color w:val="000000"/>
                <w:sz w:val="22"/>
                <w:szCs w:val="22"/>
              </w:rPr>
            </w:pPr>
            <w:r>
              <w:rPr>
                <w:rFonts w:ascii="Calibri" w:hAnsi="Calibri" w:cs="Calibri"/>
                <w:color w:val="000000"/>
                <w:sz w:val="22"/>
                <w:szCs w:val="22"/>
              </w:rPr>
              <w:t>154 122 531</w:t>
            </w:r>
          </w:p>
        </w:tc>
        <w:tc>
          <w:tcPr>
            <w:tcW w:w="2016" w:type="dxa"/>
            <w:tcBorders>
              <w:top w:val="nil"/>
              <w:left w:val="nil"/>
              <w:bottom w:val="nil"/>
              <w:right w:val="nil"/>
            </w:tcBorders>
            <w:shd w:val="clear" w:color="000000" w:fill="FFFFFF"/>
            <w:noWrap/>
            <w:vAlign w:val="bottom"/>
            <w:hideMark/>
          </w:tcPr>
          <w:p w14:paraId="2C1E57F8" w14:textId="77777777" w:rsidR="00AE5E07" w:rsidRDefault="00AE5E07" w:rsidP="00695632">
            <w:pPr>
              <w:jc w:val="center"/>
              <w:rPr>
                <w:rFonts w:ascii="Calibri" w:hAnsi="Calibri" w:cs="Calibri"/>
                <w:color w:val="000000"/>
                <w:sz w:val="22"/>
                <w:szCs w:val="22"/>
              </w:rPr>
            </w:pPr>
            <w:r>
              <w:rPr>
                <w:rFonts w:ascii="Calibri" w:hAnsi="Calibri" w:cs="Calibri"/>
                <w:color w:val="000000"/>
                <w:sz w:val="22"/>
                <w:szCs w:val="22"/>
              </w:rPr>
              <w:t>21</w:t>
            </w:r>
          </w:p>
        </w:tc>
        <w:tc>
          <w:tcPr>
            <w:tcW w:w="2607" w:type="dxa"/>
            <w:tcBorders>
              <w:top w:val="nil"/>
              <w:left w:val="nil"/>
              <w:bottom w:val="nil"/>
              <w:right w:val="single" w:sz="8" w:space="0" w:color="auto"/>
            </w:tcBorders>
            <w:shd w:val="clear" w:color="000000" w:fill="FFFFFF"/>
            <w:noWrap/>
            <w:hideMark/>
          </w:tcPr>
          <w:p w14:paraId="23218888" w14:textId="77777777" w:rsidR="00AE5E07" w:rsidRDefault="00AE5E07" w:rsidP="00695632">
            <w:pPr>
              <w:jc w:val="center"/>
              <w:rPr>
                <w:rFonts w:ascii="Calibri" w:hAnsi="Calibri" w:cs="Calibri"/>
                <w:color w:val="000000"/>
                <w:sz w:val="22"/>
                <w:szCs w:val="22"/>
              </w:rPr>
            </w:pPr>
            <w:r w:rsidRPr="00F96781">
              <w:rPr>
                <w:rFonts w:ascii="Calibri" w:hAnsi="Calibri" w:cs="Calibri"/>
                <w:color w:val="000000"/>
                <w:sz w:val="22"/>
                <w:szCs w:val="22"/>
              </w:rPr>
              <w:t>7 339 168</w:t>
            </w:r>
          </w:p>
        </w:tc>
      </w:tr>
      <w:tr w:rsidR="00AE5E07" w14:paraId="2EEF0001" w14:textId="77777777" w:rsidTr="00695632">
        <w:trPr>
          <w:trHeight w:val="313"/>
        </w:trPr>
        <w:tc>
          <w:tcPr>
            <w:tcW w:w="1993" w:type="dxa"/>
            <w:tcBorders>
              <w:top w:val="nil"/>
              <w:left w:val="single" w:sz="8" w:space="0" w:color="auto"/>
              <w:bottom w:val="nil"/>
              <w:right w:val="single" w:sz="8" w:space="0" w:color="auto"/>
            </w:tcBorders>
            <w:shd w:val="clear" w:color="000000" w:fill="FFFFFF"/>
            <w:noWrap/>
            <w:vAlign w:val="bottom"/>
            <w:hideMark/>
          </w:tcPr>
          <w:p w14:paraId="30A41C38" w14:textId="77777777" w:rsidR="00AE5E07" w:rsidRDefault="00AE5E07" w:rsidP="00695632">
            <w:pPr>
              <w:rPr>
                <w:rFonts w:ascii="Calibri" w:hAnsi="Calibri" w:cs="Calibri"/>
                <w:color w:val="000000"/>
                <w:sz w:val="22"/>
                <w:szCs w:val="22"/>
              </w:rPr>
            </w:pPr>
            <w:r>
              <w:rPr>
                <w:rFonts w:ascii="Calibri" w:hAnsi="Calibri" w:cs="Calibri"/>
                <w:color w:val="000000"/>
                <w:sz w:val="22"/>
                <w:szCs w:val="22"/>
              </w:rPr>
              <w:t>HPC</w:t>
            </w:r>
          </w:p>
        </w:tc>
        <w:tc>
          <w:tcPr>
            <w:tcW w:w="1572" w:type="dxa"/>
            <w:tcBorders>
              <w:top w:val="nil"/>
              <w:left w:val="nil"/>
              <w:bottom w:val="nil"/>
              <w:right w:val="nil"/>
            </w:tcBorders>
            <w:shd w:val="clear" w:color="000000" w:fill="FFFFFF"/>
            <w:noWrap/>
            <w:vAlign w:val="bottom"/>
            <w:hideMark/>
          </w:tcPr>
          <w:p w14:paraId="22DB61A5" w14:textId="77777777" w:rsidR="00AE5E07" w:rsidRDefault="00AE5E07" w:rsidP="00695632">
            <w:pPr>
              <w:jc w:val="center"/>
              <w:rPr>
                <w:rFonts w:ascii="Calibri" w:hAnsi="Calibri" w:cs="Calibri"/>
                <w:color w:val="000000"/>
                <w:sz w:val="22"/>
                <w:szCs w:val="22"/>
              </w:rPr>
            </w:pPr>
            <w:r>
              <w:rPr>
                <w:rFonts w:ascii="Calibri" w:hAnsi="Calibri" w:cs="Calibri"/>
                <w:color w:val="000000"/>
                <w:sz w:val="22"/>
                <w:szCs w:val="22"/>
              </w:rPr>
              <w:t>2,67</w:t>
            </w:r>
          </w:p>
        </w:tc>
        <w:tc>
          <w:tcPr>
            <w:tcW w:w="1703" w:type="dxa"/>
            <w:tcBorders>
              <w:top w:val="nil"/>
              <w:left w:val="nil"/>
              <w:bottom w:val="nil"/>
              <w:right w:val="nil"/>
            </w:tcBorders>
            <w:shd w:val="clear" w:color="000000" w:fill="FFFFFF"/>
            <w:noWrap/>
            <w:vAlign w:val="bottom"/>
            <w:hideMark/>
          </w:tcPr>
          <w:p w14:paraId="553DAD7D" w14:textId="77777777" w:rsidR="00AE5E07" w:rsidRDefault="00AE5E07" w:rsidP="00695632">
            <w:pPr>
              <w:jc w:val="center"/>
              <w:rPr>
                <w:rFonts w:ascii="Calibri" w:hAnsi="Calibri" w:cs="Calibri"/>
                <w:color w:val="000000"/>
                <w:sz w:val="22"/>
                <w:szCs w:val="22"/>
              </w:rPr>
            </w:pPr>
            <w:r>
              <w:rPr>
                <w:rFonts w:ascii="Calibri" w:hAnsi="Calibri" w:cs="Calibri"/>
                <w:color w:val="000000"/>
                <w:sz w:val="22"/>
                <w:szCs w:val="22"/>
              </w:rPr>
              <w:t>55 590 441</w:t>
            </w:r>
          </w:p>
        </w:tc>
        <w:tc>
          <w:tcPr>
            <w:tcW w:w="2016" w:type="dxa"/>
            <w:tcBorders>
              <w:top w:val="nil"/>
              <w:left w:val="nil"/>
              <w:bottom w:val="nil"/>
              <w:right w:val="nil"/>
            </w:tcBorders>
            <w:shd w:val="clear" w:color="000000" w:fill="FFFFFF"/>
            <w:noWrap/>
            <w:vAlign w:val="bottom"/>
            <w:hideMark/>
          </w:tcPr>
          <w:p w14:paraId="3A35773E" w14:textId="77777777" w:rsidR="00AE5E07" w:rsidRDefault="00AE5E07" w:rsidP="00695632">
            <w:pPr>
              <w:jc w:val="center"/>
              <w:rPr>
                <w:rFonts w:ascii="Calibri" w:hAnsi="Calibri" w:cs="Calibri"/>
                <w:color w:val="000000"/>
                <w:sz w:val="22"/>
                <w:szCs w:val="22"/>
              </w:rPr>
            </w:pPr>
            <w:r>
              <w:rPr>
                <w:rFonts w:ascii="Calibri" w:hAnsi="Calibri" w:cs="Calibri"/>
                <w:color w:val="000000"/>
                <w:sz w:val="22"/>
                <w:szCs w:val="22"/>
              </w:rPr>
              <w:t>7</w:t>
            </w:r>
          </w:p>
        </w:tc>
        <w:tc>
          <w:tcPr>
            <w:tcW w:w="2607" w:type="dxa"/>
            <w:tcBorders>
              <w:top w:val="nil"/>
              <w:left w:val="nil"/>
              <w:bottom w:val="nil"/>
              <w:right w:val="single" w:sz="8" w:space="0" w:color="auto"/>
            </w:tcBorders>
            <w:shd w:val="clear" w:color="000000" w:fill="FFFFFF"/>
            <w:noWrap/>
            <w:hideMark/>
          </w:tcPr>
          <w:p w14:paraId="302C4F67" w14:textId="77777777" w:rsidR="00AE5E07" w:rsidRDefault="00AE5E07" w:rsidP="00695632">
            <w:pPr>
              <w:jc w:val="center"/>
              <w:rPr>
                <w:rFonts w:ascii="Calibri" w:hAnsi="Calibri" w:cs="Calibri"/>
                <w:color w:val="000000"/>
                <w:sz w:val="22"/>
                <w:szCs w:val="22"/>
              </w:rPr>
            </w:pPr>
            <w:r w:rsidRPr="00F96781">
              <w:rPr>
                <w:rFonts w:ascii="Calibri" w:hAnsi="Calibri" w:cs="Calibri"/>
                <w:color w:val="000000"/>
                <w:sz w:val="22"/>
                <w:szCs w:val="22"/>
              </w:rPr>
              <w:t>7 941 492</w:t>
            </w:r>
          </w:p>
        </w:tc>
      </w:tr>
      <w:tr w:rsidR="00AE5E07" w14:paraId="1E76D26B" w14:textId="77777777" w:rsidTr="00695632">
        <w:trPr>
          <w:trHeight w:val="313"/>
        </w:trPr>
        <w:tc>
          <w:tcPr>
            <w:tcW w:w="1993" w:type="dxa"/>
            <w:tcBorders>
              <w:top w:val="nil"/>
              <w:left w:val="single" w:sz="8" w:space="0" w:color="auto"/>
              <w:bottom w:val="nil"/>
              <w:right w:val="single" w:sz="8" w:space="0" w:color="auto"/>
            </w:tcBorders>
            <w:shd w:val="clear" w:color="000000" w:fill="FFFFFF"/>
            <w:noWrap/>
            <w:vAlign w:val="bottom"/>
            <w:hideMark/>
          </w:tcPr>
          <w:p w14:paraId="21DFFB2F" w14:textId="77777777" w:rsidR="00AE5E07" w:rsidRDefault="00AE5E07" w:rsidP="00695632">
            <w:pPr>
              <w:rPr>
                <w:rFonts w:ascii="Calibri" w:hAnsi="Calibri" w:cs="Calibri"/>
                <w:color w:val="000000"/>
                <w:sz w:val="22"/>
                <w:szCs w:val="22"/>
              </w:rPr>
            </w:pPr>
            <w:r>
              <w:rPr>
                <w:rFonts w:ascii="Calibri" w:hAnsi="Calibri" w:cs="Calibri"/>
                <w:color w:val="000000"/>
                <w:sz w:val="22"/>
                <w:szCs w:val="22"/>
              </w:rPr>
              <w:t xml:space="preserve">JP MORGAN </w:t>
            </w:r>
          </w:p>
        </w:tc>
        <w:tc>
          <w:tcPr>
            <w:tcW w:w="1572" w:type="dxa"/>
            <w:tcBorders>
              <w:top w:val="nil"/>
              <w:left w:val="nil"/>
              <w:bottom w:val="nil"/>
              <w:right w:val="nil"/>
            </w:tcBorders>
            <w:shd w:val="clear" w:color="000000" w:fill="FFFFFF"/>
            <w:noWrap/>
            <w:vAlign w:val="bottom"/>
            <w:hideMark/>
          </w:tcPr>
          <w:p w14:paraId="28B4053B" w14:textId="77777777" w:rsidR="00AE5E07" w:rsidRDefault="00AE5E07" w:rsidP="00695632">
            <w:pPr>
              <w:jc w:val="center"/>
              <w:rPr>
                <w:rFonts w:ascii="Calibri" w:hAnsi="Calibri" w:cs="Calibri"/>
                <w:color w:val="000000"/>
                <w:sz w:val="22"/>
                <w:szCs w:val="22"/>
              </w:rPr>
            </w:pPr>
            <w:r>
              <w:rPr>
                <w:rFonts w:ascii="Calibri" w:hAnsi="Calibri" w:cs="Calibri"/>
                <w:color w:val="000000"/>
                <w:sz w:val="22"/>
                <w:szCs w:val="22"/>
              </w:rPr>
              <w:t>3,80</w:t>
            </w:r>
          </w:p>
        </w:tc>
        <w:tc>
          <w:tcPr>
            <w:tcW w:w="1703" w:type="dxa"/>
            <w:tcBorders>
              <w:top w:val="nil"/>
              <w:left w:val="nil"/>
              <w:bottom w:val="nil"/>
              <w:right w:val="nil"/>
            </w:tcBorders>
            <w:shd w:val="clear" w:color="000000" w:fill="FFFFFF"/>
            <w:noWrap/>
            <w:vAlign w:val="bottom"/>
            <w:hideMark/>
          </w:tcPr>
          <w:p w14:paraId="1D396308" w14:textId="77777777" w:rsidR="00AE5E07" w:rsidRDefault="00AE5E07" w:rsidP="00695632">
            <w:pPr>
              <w:jc w:val="center"/>
              <w:rPr>
                <w:rFonts w:ascii="Calibri" w:hAnsi="Calibri" w:cs="Calibri"/>
                <w:color w:val="000000"/>
                <w:sz w:val="22"/>
                <w:szCs w:val="22"/>
              </w:rPr>
            </w:pPr>
            <w:r>
              <w:rPr>
                <w:rFonts w:ascii="Calibri" w:hAnsi="Calibri" w:cs="Calibri"/>
                <w:color w:val="000000"/>
                <w:sz w:val="22"/>
                <w:szCs w:val="22"/>
              </w:rPr>
              <w:t>2 989 920</w:t>
            </w:r>
          </w:p>
        </w:tc>
        <w:tc>
          <w:tcPr>
            <w:tcW w:w="2016" w:type="dxa"/>
            <w:tcBorders>
              <w:top w:val="nil"/>
              <w:left w:val="nil"/>
              <w:bottom w:val="nil"/>
              <w:right w:val="nil"/>
            </w:tcBorders>
            <w:shd w:val="clear" w:color="000000" w:fill="FFFFFF"/>
            <w:noWrap/>
            <w:vAlign w:val="bottom"/>
            <w:hideMark/>
          </w:tcPr>
          <w:p w14:paraId="3D98DF08" w14:textId="77777777" w:rsidR="00AE5E07" w:rsidRDefault="00AE5E07" w:rsidP="00695632">
            <w:pPr>
              <w:jc w:val="center"/>
              <w:rPr>
                <w:rFonts w:ascii="Calibri" w:hAnsi="Calibri" w:cs="Calibri"/>
                <w:color w:val="000000"/>
                <w:sz w:val="22"/>
                <w:szCs w:val="22"/>
              </w:rPr>
            </w:pPr>
            <w:r>
              <w:rPr>
                <w:rFonts w:ascii="Calibri" w:hAnsi="Calibri" w:cs="Calibri"/>
                <w:color w:val="000000"/>
                <w:sz w:val="22"/>
                <w:szCs w:val="22"/>
              </w:rPr>
              <w:t>5</w:t>
            </w:r>
          </w:p>
        </w:tc>
        <w:tc>
          <w:tcPr>
            <w:tcW w:w="2607" w:type="dxa"/>
            <w:tcBorders>
              <w:top w:val="nil"/>
              <w:left w:val="nil"/>
              <w:bottom w:val="nil"/>
              <w:right w:val="single" w:sz="8" w:space="0" w:color="auto"/>
            </w:tcBorders>
            <w:shd w:val="clear" w:color="000000" w:fill="FFFFFF"/>
            <w:noWrap/>
            <w:hideMark/>
          </w:tcPr>
          <w:p w14:paraId="2CB1076E" w14:textId="77777777" w:rsidR="00AE5E07" w:rsidRDefault="00AE5E07" w:rsidP="00695632">
            <w:pPr>
              <w:jc w:val="center"/>
              <w:rPr>
                <w:rFonts w:ascii="Calibri" w:hAnsi="Calibri" w:cs="Calibri"/>
                <w:color w:val="000000"/>
                <w:sz w:val="22"/>
                <w:szCs w:val="22"/>
              </w:rPr>
            </w:pPr>
            <w:r w:rsidRPr="00F96781">
              <w:rPr>
                <w:rFonts w:ascii="Calibri" w:hAnsi="Calibri" w:cs="Calibri"/>
                <w:color w:val="000000"/>
                <w:sz w:val="22"/>
                <w:szCs w:val="22"/>
              </w:rPr>
              <w:t>597 984</w:t>
            </w:r>
          </w:p>
        </w:tc>
      </w:tr>
      <w:tr w:rsidR="00AE5E07" w14:paraId="13066E9D" w14:textId="77777777" w:rsidTr="00695632">
        <w:trPr>
          <w:trHeight w:val="329"/>
        </w:trPr>
        <w:tc>
          <w:tcPr>
            <w:tcW w:w="1993" w:type="dxa"/>
            <w:tcBorders>
              <w:top w:val="nil"/>
              <w:left w:val="single" w:sz="8" w:space="0" w:color="auto"/>
              <w:bottom w:val="single" w:sz="8" w:space="0" w:color="auto"/>
              <w:right w:val="single" w:sz="8" w:space="0" w:color="auto"/>
            </w:tcBorders>
            <w:shd w:val="clear" w:color="000000" w:fill="FFFFFF"/>
            <w:noWrap/>
            <w:vAlign w:val="bottom"/>
            <w:hideMark/>
          </w:tcPr>
          <w:p w14:paraId="4F7302F9" w14:textId="77777777" w:rsidR="00AE5E07" w:rsidRDefault="00AE5E07" w:rsidP="00695632">
            <w:pPr>
              <w:rPr>
                <w:rFonts w:ascii="Calibri" w:hAnsi="Calibri" w:cs="Calibri"/>
                <w:color w:val="000000"/>
                <w:sz w:val="22"/>
                <w:szCs w:val="22"/>
              </w:rPr>
            </w:pPr>
            <w:r>
              <w:rPr>
                <w:rFonts w:ascii="Calibri" w:hAnsi="Calibri" w:cs="Calibri"/>
                <w:color w:val="000000"/>
                <w:sz w:val="22"/>
                <w:szCs w:val="22"/>
              </w:rPr>
              <w:t>SOCIETE GENERALE</w:t>
            </w:r>
          </w:p>
        </w:tc>
        <w:tc>
          <w:tcPr>
            <w:tcW w:w="1572" w:type="dxa"/>
            <w:tcBorders>
              <w:top w:val="nil"/>
              <w:left w:val="nil"/>
              <w:bottom w:val="single" w:sz="8" w:space="0" w:color="auto"/>
              <w:right w:val="nil"/>
            </w:tcBorders>
            <w:shd w:val="clear" w:color="000000" w:fill="FFFFFF"/>
            <w:noWrap/>
            <w:vAlign w:val="bottom"/>
            <w:hideMark/>
          </w:tcPr>
          <w:p w14:paraId="0A45FBD4" w14:textId="77777777" w:rsidR="00AE5E07" w:rsidRDefault="00AE5E07" w:rsidP="00695632">
            <w:pPr>
              <w:jc w:val="center"/>
              <w:rPr>
                <w:rFonts w:ascii="Calibri" w:hAnsi="Calibri" w:cs="Calibri"/>
                <w:color w:val="000000"/>
                <w:sz w:val="22"/>
                <w:szCs w:val="22"/>
              </w:rPr>
            </w:pPr>
            <w:r>
              <w:rPr>
                <w:rFonts w:ascii="Calibri" w:hAnsi="Calibri" w:cs="Calibri"/>
                <w:color w:val="000000"/>
                <w:sz w:val="22"/>
                <w:szCs w:val="22"/>
              </w:rPr>
              <w:t>3,00</w:t>
            </w:r>
          </w:p>
        </w:tc>
        <w:tc>
          <w:tcPr>
            <w:tcW w:w="1703" w:type="dxa"/>
            <w:tcBorders>
              <w:top w:val="nil"/>
              <w:left w:val="nil"/>
              <w:bottom w:val="single" w:sz="8" w:space="0" w:color="auto"/>
              <w:right w:val="nil"/>
            </w:tcBorders>
            <w:shd w:val="clear" w:color="000000" w:fill="FFFFFF"/>
            <w:noWrap/>
            <w:vAlign w:val="bottom"/>
            <w:hideMark/>
          </w:tcPr>
          <w:p w14:paraId="39DAA0AC" w14:textId="77777777" w:rsidR="00AE5E07" w:rsidRDefault="00AE5E07" w:rsidP="00695632">
            <w:pPr>
              <w:jc w:val="center"/>
              <w:rPr>
                <w:rFonts w:ascii="Calibri" w:hAnsi="Calibri" w:cs="Calibri"/>
                <w:color w:val="000000"/>
                <w:sz w:val="22"/>
                <w:szCs w:val="22"/>
              </w:rPr>
            </w:pPr>
            <w:r>
              <w:rPr>
                <w:rFonts w:ascii="Calibri" w:hAnsi="Calibri" w:cs="Calibri"/>
                <w:color w:val="000000"/>
                <w:sz w:val="22"/>
                <w:szCs w:val="22"/>
              </w:rPr>
              <w:t>1 493 784</w:t>
            </w:r>
          </w:p>
        </w:tc>
        <w:tc>
          <w:tcPr>
            <w:tcW w:w="2016" w:type="dxa"/>
            <w:tcBorders>
              <w:top w:val="nil"/>
              <w:left w:val="nil"/>
              <w:bottom w:val="single" w:sz="8" w:space="0" w:color="auto"/>
              <w:right w:val="nil"/>
            </w:tcBorders>
            <w:shd w:val="clear" w:color="000000" w:fill="FFFFFF"/>
            <w:noWrap/>
            <w:vAlign w:val="bottom"/>
            <w:hideMark/>
          </w:tcPr>
          <w:p w14:paraId="1352CA38" w14:textId="77777777" w:rsidR="00AE5E07" w:rsidRDefault="00AE5E07" w:rsidP="00695632">
            <w:pPr>
              <w:jc w:val="center"/>
              <w:rPr>
                <w:rFonts w:ascii="Calibri" w:hAnsi="Calibri" w:cs="Calibri"/>
                <w:color w:val="000000"/>
                <w:sz w:val="22"/>
                <w:szCs w:val="22"/>
              </w:rPr>
            </w:pPr>
            <w:r>
              <w:rPr>
                <w:rFonts w:ascii="Calibri" w:hAnsi="Calibri" w:cs="Calibri"/>
                <w:color w:val="000000"/>
                <w:sz w:val="22"/>
                <w:szCs w:val="22"/>
              </w:rPr>
              <w:t>1</w:t>
            </w:r>
          </w:p>
        </w:tc>
        <w:tc>
          <w:tcPr>
            <w:tcW w:w="2607" w:type="dxa"/>
            <w:tcBorders>
              <w:top w:val="nil"/>
              <w:left w:val="nil"/>
              <w:bottom w:val="single" w:sz="8" w:space="0" w:color="auto"/>
              <w:right w:val="single" w:sz="8" w:space="0" w:color="auto"/>
            </w:tcBorders>
            <w:shd w:val="clear" w:color="000000" w:fill="FFFFFF"/>
            <w:noWrap/>
            <w:hideMark/>
          </w:tcPr>
          <w:p w14:paraId="6A2470C0" w14:textId="77777777" w:rsidR="00AE5E07" w:rsidRDefault="00AE5E07" w:rsidP="00695632">
            <w:pPr>
              <w:jc w:val="center"/>
              <w:rPr>
                <w:rFonts w:ascii="Calibri" w:hAnsi="Calibri" w:cs="Calibri"/>
                <w:color w:val="000000"/>
                <w:sz w:val="22"/>
                <w:szCs w:val="22"/>
              </w:rPr>
            </w:pPr>
            <w:r w:rsidRPr="00F96781">
              <w:rPr>
                <w:rFonts w:ascii="Calibri" w:hAnsi="Calibri" w:cs="Calibri"/>
                <w:color w:val="000000"/>
                <w:sz w:val="22"/>
                <w:szCs w:val="22"/>
              </w:rPr>
              <w:t>1 493 784</w:t>
            </w:r>
          </w:p>
        </w:tc>
      </w:tr>
      <w:tr w:rsidR="00AE5E07" w14:paraId="64698E23" w14:textId="77777777" w:rsidTr="00695632">
        <w:trPr>
          <w:trHeight w:val="329"/>
        </w:trPr>
        <w:tc>
          <w:tcPr>
            <w:tcW w:w="1993" w:type="dxa"/>
            <w:tcBorders>
              <w:top w:val="nil"/>
              <w:left w:val="single" w:sz="8" w:space="0" w:color="auto"/>
              <w:bottom w:val="single" w:sz="8" w:space="0" w:color="auto"/>
              <w:right w:val="nil"/>
            </w:tcBorders>
            <w:shd w:val="clear" w:color="000000" w:fill="FFFFFF"/>
            <w:noWrap/>
            <w:vAlign w:val="bottom"/>
            <w:hideMark/>
          </w:tcPr>
          <w:p w14:paraId="78CE2FFC" w14:textId="77777777" w:rsidR="00AE5E07" w:rsidRDefault="00AE5E07" w:rsidP="00695632">
            <w:pPr>
              <w:rPr>
                <w:rFonts w:ascii="Calibri" w:hAnsi="Calibri" w:cs="Calibri"/>
                <w:color w:val="000000"/>
                <w:sz w:val="22"/>
                <w:szCs w:val="22"/>
              </w:rPr>
            </w:pPr>
            <w:r>
              <w:rPr>
                <w:rFonts w:ascii="Calibri" w:hAnsi="Calibri" w:cs="Calibri"/>
                <w:color w:val="000000"/>
                <w:sz w:val="22"/>
                <w:szCs w:val="22"/>
              </w:rPr>
              <w:t> </w:t>
            </w:r>
          </w:p>
        </w:tc>
        <w:tc>
          <w:tcPr>
            <w:tcW w:w="1572" w:type="dxa"/>
            <w:tcBorders>
              <w:top w:val="nil"/>
              <w:left w:val="nil"/>
              <w:bottom w:val="single" w:sz="8" w:space="0" w:color="auto"/>
              <w:right w:val="nil"/>
            </w:tcBorders>
            <w:shd w:val="clear" w:color="000000" w:fill="FFFFFF"/>
            <w:noWrap/>
            <w:vAlign w:val="bottom"/>
            <w:hideMark/>
          </w:tcPr>
          <w:p w14:paraId="1913C42B" w14:textId="77777777" w:rsidR="00AE5E07" w:rsidRDefault="00AE5E07" w:rsidP="00695632">
            <w:pPr>
              <w:jc w:val="center"/>
              <w:rPr>
                <w:rFonts w:ascii="Calibri" w:hAnsi="Calibri" w:cs="Calibri"/>
                <w:color w:val="000000"/>
                <w:sz w:val="22"/>
                <w:szCs w:val="22"/>
              </w:rPr>
            </w:pPr>
            <w:r>
              <w:rPr>
                <w:rFonts w:ascii="Calibri" w:hAnsi="Calibri" w:cs="Calibri"/>
                <w:color w:val="000000"/>
                <w:sz w:val="22"/>
                <w:szCs w:val="22"/>
              </w:rPr>
              <w:t>3,09</w:t>
            </w:r>
          </w:p>
        </w:tc>
        <w:tc>
          <w:tcPr>
            <w:tcW w:w="1703" w:type="dxa"/>
            <w:tcBorders>
              <w:top w:val="nil"/>
              <w:left w:val="nil"/>
              <w:bottom w:val="single" w:sz="8" w:space="0" w:color="auto"/>
              <w:right w:val="nil"/>
            </w:tcBorders>
            <w:shd w:val="clear" w:color="000000" w:fill="FFFFFF"/>
            <w:noWrap/>
            <w:vAlign w:val="bottom"/>
            <w:hideMark/>
          </w:tcPr>
          <w:p w14:paraId="26597592" w14:textId="77777777" w:rsidR="00AE5E07" w:rsidRDefault="00AE5E07" w:rsidP="00695632">
            <w:pPr>
              <w:jc w:val="center"/>
              <w:rPr>
                <w:rFonts w:ascii="Calibri" w:hAnsi="Calibri" w:cs="Calibri"/>
                <w:color w:val="000000"/>
                <w:sz w:val="22"/>
                <w:szCs w:val="22"/>
              </w:rPr>
            </w:pPr>
            <w:r>
              <w:rPr>
                <w:rFonts w:ascii="Calibri" w:hAnsi="Calibri" w:cs="Calibri"/>
                <w:color w:val="000000"/>
                <w:sz w:val="22"/>
                <w:szCs w:val="22"/>
              </w:rPr>
              <w:t>219 095 867</w:t>
            </w:r>
          </w:p>
        </w:tc>
        <w:tc>
          <w:tcPr>
            <w:tcW w:w="2016" w:type="dxa"/>
            <w:tcBorders>
              <w:top w:val="nil"/>
              <w:left w:val="nil"/>
              <w:bottom w:val="single" w:sz="8" w:space="0" w:color="auto"/>
              <w:right w:val="nil"/>
            </w:tcBorders>
            <w:shd w:val="clear" w:color="000000" w:fill="FFFFFF"/>
            <w:noWrap/>
            <w:vAlign w:val="bottom"/>
            <w:hideMark/>
          </w:tcPr>
          <w:p w14:paraId="5100349C" w14:textId="77777777" w:rsidR="00AE5E07" w:rsidRDefault="00AE5E07" w:rsidP="00695632">
            <w:pPr>
              <w:jc w:val="center"/>
              <w:rPr>
                <w:rFonts w:ascii="Calibri" w:hAnsi="Calibri" w:cs="Calibri"/>
                <w:color w:val="000000"/>
                <w:sz w:val="22"/>
                <w:szCs w:val="22"/>
              </w:rPr>
            </w:pPr>
            <w:r>
              <w:rPr>
                <w:rFonts w:ascii="Calibri" w:hAnsi="Calibri" w:cs="Calibri"/>
                <w:color w:val="000000"/>
                <w:sz w:val="22"/>
                <w:szCs w:val="22"/>
              </w:rPr>
              <w:t>35</w:t>
            </w:r>
          </w:p>
        </w:tc>
        <w:tc>
          <w:tcPr>
            <w:tcW w:w="2607" w:type="dxa"/>
            <w:tcBorders>
              <w:top w:val="nil"/>
              <w:left w:val="nil"/>
              <w:bottom w:val="single" w:sz="8" w:space="0" w:color="auto"/>
              <w:right w:val="single" w:sz="8" w:space="0" w:color="auto"/>
            </w:tcBorders>
            <w:shd w:val="clear" w:color="000000" w:fill="FFFFFF"/>
            <w:noWrap/>
            <w:hideMark/>
          </w:tcPr>
          <w:p w14:paraId="0FEF24F5" w14:textId="77777777" w:rsidR="00AE5E07" w:rsidRDefault="00AE5E07" w:rsidP="00695632">
            <w:pPr>
              <w:jc w:val="center"/>
              <w:rPr>
                <w:rFonts w:ascii="Calibri" w:hAnsi="Calibri" w:cs="Calibri"/>
                <w:color w:val="000000"/>
                <w:sz w:val="22"/>
                <w:szCs w:val="22"/>
              </w:rPr>
            </w:pPr>
            <w:r w:rsidRPr="00F96781">
              <w:rPr>
                <w:rFonts w:ascii="Calibri" w:hAnsi="Calibri" w:cs="Calibri"/>
                <w:color w:val="000000"/>
                <w:sz w:val="22"/>
                <w:szCs w:val="22"/>
              </w:rPr>
              <w:t>6 182 555</w:t>
            </w:r>
          </w:p>
        </w:tc>
      </w:tr>
    </w:tbl>
    <w:p w14:paraId="407ECB54" w14:textId="77777777" w:rsidR="00AE5E07" w:rsidRDefault="00AE5E07" w:rsidP="00AE5E07">
      <w:pPr>
        <w:jc w:val="both"/>
        <w:rPr>
          <w:rFonts w:ascii="Arial" w:hAnsi="Arial" w:cs="Arial"/>
          <w:sz w:val="20"/>
          <w:szCs w:val="20"/>
        </w:rPr>
      </w:pPr>
    </w:p>
    <w:p w14:paraId="5B4B1D98" w14:textId="77777777" w:rsidR="00AE5E07" w:rsidRDefault="00AE5E07" w:rsidP="00AE5E07">
      <w:pPr>
        <w:jc w:val="both"/>
        <w:rPr>
          <w:rFonts w:ascii="Arial" w:hAnsi="Arial" w:cs="Arial"/>
          <w:sz w:val="20"/>
          <w:szCs w:val="20"/>
        </w:rPr>
      </w:pPr>
    </w:p>
    <w:p w14:paraId="6BBB4661" w14:textId="77777777" w:rsidR="00AE5E07" w:rsidRDefault="00AE5E07" w:rsidP="00AE5E07">
      <w:pPr>
        <w:jc w:val="both"/>
        <w:rPr>
          <w:rFonts w:ascii="Arial" w:hAnsi="Arial" w:cs="Arial"/>
          <w:sz w:val="20"/>
          <w:szCs w:val="20"/>
        </w:rPr>
      </w:pPr>
      <w:r>
        <w:rPr>
          <w:rFonts w:ascii="Arial" w:hAnsi="Arial" w:cs="Arial"/>
          <w:sz w:val="20"/>
          <w:szCs w:val="20"/>
        </w:rPr>
        <w:t xml:space="preserve">En 2023, HPC avait était le broker avec lequel nous avions le plus traité car ils représentaient notre meilleure alternative pour traiter sur les obligations d’Etats. </w:t>
      </w:r>
    </w:p>
    <w:p w14:paraId="0A87E23D" w14:textId="77777777" w:rsidR="00AE5E07" w:rsidRDefault="00AE5E07" w:rsidP="00AE5E07">
      <w:pPr>
        <w:jc w:val="both"/>
        <w:rPr>
          <w:rFonts w:ascii="Arial" w:hAnsi="Arial" w:cs="Arial"/>
          <w:sz w:val="20"/>
          <w:szCs w:val="20"/>
        </w:rPr>
      </w:pPr>
      <w:r>
        <w:rPr>
          <w:rFonts w:ascii="Arial" w:hAnsi="Arial" w:cs="Arial"/>
          <w:sz w:val="20"/>
          <w:szCs w:val="20"/>
        </w:rPr>
        <w:t xml:space="preserve">Depuis juin, nous avons commencé à traiter sur les obligations d’Etats avec BANK OF AMERICA à la suite d’un changement de vendeuse et l’intégration du trader </w:t>
      </w:r>
      <w:proofErr w:type="spellStart"/>
      <w:r>
        <w:rPr>
          <w:rFonts w:ascii="Arial" w:hAnsi="Arial" w:cs="Arial"/>
          <w:sz w:val="20"/>
          <w:szCs w:val="20"/>
        </w:rPr>
        <w:t>Govies</w:t>
      </w:r>
      <w:proofErr w:type="spellEnd"/>
      <w:r>
        <w:rPr>
          <w:rFonts w:ascii="Arial" w:hAnsi="Arial" w:cs="Arial"/>
          <w:sz w:val="20"/>
          <w:szCs w:val="20"/>
        </w:rPr>
        <w:t xml:space="preserve"> dans le chat Bloomberg. Les prix proposés étant bien plus compétitifs de ceux proposés par HPC, nous avons traité la majorité du volume avec cette contrepartie : 153M€ ont été échangés à partir de juin dont 151.5M€ d’obligations souveraines. </w:t>
      </w:r>
    </w:p>
    <w:p w14:paraId="66BC3289" w14:textId="77777777" w:rsidR="00AE5E07" w:rsidRDefault="00AE5E07" w:rsidP="00AE5E07">
      <w:pPr>
        <w:jc w:val="both"/>
        <w:rPr>
          <w:rFonts w:ascii="Arial" w:hAnsi="Arial" w:cs="Arial"/>
          <w:sz w:val="20"/>
          <w:szCs w:val="20"/>
        </w:rPr>
      </w:pPr>
      <w:r>
        <w:rPr>
          <w:rFonts w:ascii="Arial" w:hAnsi="Arial" w:cs="Arial"/>
          <w:sz w:val="20"/>
          <w:szCs w:val="20"/>
        </w:rPr>
        <w:t xml:space="preserve">La note moyenne de 3,29/5 de BANK OF AMERICA s’est améliorée par rapport à la moyenne des notes des années précédentes, principalement pour ces raisons. A contrario la note de HPC est de seulement 2,67 ce qui nous a incité à ouvrir cette option de traiter du souverain auprès de </w:t>
      </w:r>
      <w:proofErr w:type="spellStart"/>
      <w:r>
        <w:rPr>
          <w:rFonts w:ascii="Arial" w:hAnsi="Arial" w:cs="Arial"/>
          <w:sz w:val="20"/>
          <w:szCs w:val="20"/>
        </w:rPr>
        <w:t>BofA</w:t>
      </w:r>
      <w:proofErr w:type="spellEnd"/>
      <w:r>
        <w:rPr>
          <w:rFonts w:ascii="Arial" w:hAnsi="Arial" w:cs="Arial"/>
          <w:sz w:val="20"/>
          <w:szCs w:val="20"/>
        </w:rPr>
        <w:t>.</w:t>
      </w:r>
    </w:p>
    <w:p w14:paraId="5CEBAF6C" w14:textId="77777777" w:rsidR="00AE5E07" w:rsidRDefault="00AE5E07" w:rsidP="00AE5E07">
      <w:pPr>
        <w:jc w:val="both"/>
        <w:rPr>
          <w:rFonts w:ascii="Arial" w:hAnsi="Arial" w:cs="Arial"/>
          <w:sz w:val="20"/>
          <w:szCs w:val="20"/>
        </w:rPr>
      </w:pPr>
      <w:r>
        <w:rPr>
          <w:rFonts w:ascii="Arial" w:hAnsi="Arial" w:cs="Arial"/>
          <w:sz w:val="20"/>
          <w:szCs w:val="20"/>
        </w:rPr>
        <w:t>Nous continuons de traiter avec JP MORGAN en particulier sur le crédit où nous sommes satisfaits de la disponibilité de la vendeuse et des prix proposés. Cela se traduit par la meilleure note moyenne à 3,8/5.</w:t>
      </w:r>
    </w:p>
    <w:p w14:paraId="4DB50E18" w14:textId="77777777" w:rsidR="00AE5E07" w:rsidRDefault="00AE5E07" w:rsidP="00AE5E07">
      <w:pPr>
        <w:jc w:val="both"/>
        <w:rPr>
          <w:rFonts w:ascii="Arial" w:hAnsi="Arial" w:cs="Arial"/>
          <w:sz w:val="20"/>
          <w:szCs w:val="20"/>
        </w:rPr>
      </w:pPr>
      <w:r>
        <w:rPr>
          <w:rFonts w:ascii="Arial" w:hAnsi="Arial" w:cs="Arial"/>
          <w:sz w:val="20"/>
          <w:szCs w:val="20"/>
        </w:rPr>
        <w:t xml:space="preserve">Nous n’avons pas traité avec BNP qui propose rarement des prix attractifs. Côté brokers, nous n’avons pas non plus traité avec KEPLER CHEUVREUX, OCTO FINANCES et ODDO ce qui s’explique par des investissements prudents, davantage sur de l’Investment Grade et obligations souveraines, soit des produits plus liquides ou High </w:t>
      </w:r>
      <w:proofErr w:type="spellStart"/>
      <w:r>
        <w:rPr>
          <w:rFonts w:ascii="Arial" w:hAnsi="Arial" w:cs="Arial"/>
          <w:sz w:val="20"/>
          <w:szCs w:val="20"/>
        </w:rPr>
        <w:t>Yield</w:t>
      </w:r>
      <w:proofErr w:type="spellEnd"/>
      <w:r>
        <w:rPr>
          <w:rFonts w:ascii="Arial" w:hAnsi="Arial" w:cs="Arial"/>
          <w:sz w:val="20"/>
          <w:szCs w:val="20"/>
        </w:rPr>
        <w:t>.</w:t>
      </w:r>
    </w:p>
    <w:p w14:paraId="5FED8349" w14:textId="77777777" w:rsidR="004D1810" w:rsidRDefault="004D1810" w:rsidP="004D1810">
      <w:pPr>
        <w:jc w:val="both"/>
        <w:rPr>
          <w:rFonts w:ascii="Arial" w:hAnsi="Arial" w:cs="Arial"/>
          <w:sz w:val="20"/>
          <w:szCs w:val="20"/>
        </w:rPr>
      </w:pPr>
    </w:p>
    <w:p w14:paraId="5DEE2F66" w14:textId="77777777" w:rsidR="006D717C" w:rsidRPr="004D1810" w:rsidRDefault="006D717C" w:rsidP="002C55BC">
      <w:pPr>
        <w:jc w:val="both"/>
        <w:rPr>
          <w:rFonts w:ascii="Arial" w:hAnsi="Arial" w:cs="Arial"/>
          <w:sz w:val="20"/>
          <w:szCs w:val="20"/>
        </w:rPr>
      </w:pPr>
    </w:p>
    <w:p w14:paraId="4ABB931C" w14:textId="49DEF031" w:rsidR="002A201A" w:rsidRPr="00E63D15" w:rsidRDefault="002A201A" w:rsidP="002A201A">
      <w:pPr>
        <w:jc w:val="right"/>
        <w:rPr>
          <w:rFonts w:ascii="Arial" w:hAnsi="Arial" w:cs="Arial"/>
          <w:sz w:val="20"/>
          <w:szCs w:val="20"/>
        </w:rPr>
      </w:pPr>
      <w:r w:rsidRPr="00E63D15">
        <w:rPr>
          <w:rFonts w:ascii="Arial" w:hAnsi="Arial" w:cs="Arial"/>
          <w:sz w:val="20"/>
          <w:szCs w:val="20"/>
        </w:rPr>
        <w:t xml:space="preserve">Paris, le </w:t>
      </w:r>
      <w:r w:rsidR="00915859">
        <w:rPr>
          <w:rFonts w:ascii="Arial" w:hAnsi="Arial" w:cs="Arial"/>
          <w:sz w:val="20"/>
          <w:szCs w:val="20"/>
        </w:rPr>
        <w:t>9</w:t>
      </w:r>
      <w:r w:rsidR="006D717C">
        <w:rPr>
          <w:rFonts w:ascii="Arial" w:hAnsi="Arial" w:cs="Arial"/>
          <w:sz w:val="20"/>
          <w:szCs w:val="20"/>
        </w:rPr>
        <w:t xml:space="preserve"> juin</w:t>
      </w:r>
      <w:r w:rsidR="003114DD">
        <w:rPr>
          <w:rFonts w:ascii="Arial" w:hAnsi="Arial" w:cs="Arial"/>
          <w:sz w:val="20"/>
          <w:szCs w:val="20"/>
        </w:rPr>
        <w:t xml:space="preserve"> 202</w:t>
      </w:r>
      <w:r w:rsidR="00915859">
        <w:rPr>
          <w:rFonts w:ascii="Arial" w:hAnsi="Arial" w:cs="Arial"/>
          <w:sz w:val="20"/>
          <w:szCs w:val="20"/>
        </w:rPr>
        <w:t>4</w:t>
      </w:r>
    </w:p>
    <w:p w14:paraId="190778B5" w14:textId="77777777" w:rsidR="002A201A" w:rsidRPr="00E63D15" w:rsidRDefault="002A201A" w:rsidP="002A201A">
      <w:pPr>
        <w:jc w:val="right"/>
        <w:rPr>
          <w:rFonts w:ascii="Arial" w:hAnsi="Arial" w:cs="Arial"/>
          <w:sz w:val="20"/>
          <w:szCs w:val="20"/>
        </w:rPr>
      </w:pPr>
    </w:p>
    <w:p w14:paraId="4EAE81EF" w14:textId="77777777" w:rsidR="002A201A" w:rsidRPr="00E63D15" w:rsidRDefault="002A201A" w:rsidP="002A201A">
      <w:pPr>
        <w:rPr>
          <w:rFonts w:ascii="Arial" w:hAnsi="Arial" w:cs="Arial"/>
          <w:sz w:val="22"/>
          <w:szCs w:val="22"/>
        </w:rPr>
      </w:pPr>
    </w:p>
    <w:p w14:paraId="0F4DA213" w14:textId="77777777" w:rsidR="002A201A" w:rsidRPr="00A350A7" w:rsidRDefault="002A201A" w:rsidP="002A201A">
      <w:pPr>
        <w:rPr>
          <w:rFonts w:ascii="Calibri" w:hAnsi="Calibri" w:cs="Arial"/>
          <w:sz w:val="22"/>
          <w:szCs w:val="22"/>
        </w:rPr>
      </w:pPr>
    </w:p>
    <w:p w14:paraId="6F1D7FAB" w14:textId="77777777" w:rsidR="002A201A" w:rsidRDefault="002A201A" w:rsidP="004D1810">
      <w:pPr>
        <w:rPr>
          <w:rFonts w:ascii="Calibri" w:hAnsi="Calibri" w:cs="Arial"/>
          <w:sz w:val="22"/>
          <w:szCs w:val="22"/>
        </w:rPr>
      </w:pPr>
    </w:p>
    <w:p w14:paraId="59B7BF47" w14:textId="77777777" w:rsidR="002A201A" w:rsidRDefault="002A201A" w:rsidP="002A201A">
      <w:pPr>
        <w:ind w:left="708" w:firstLine="708"/>
        <w:rPr>
          <w:rFonts w:ascii="Calibri" w:hAnsi="Calibri" w:cs="Arial"/>
          <w:sz w:val="22"/>
          <w:szCs w:val="22"/>
        </w:rPr>
      </w:pPr>
      <w:r>
        <w:rPr>
          <w:rFonts w:ascii="Calibri" w:hAnsi="Calibri" w:cs="Arial"/>
          <w:sz w:val="22"/>
          <w:szCs w:val="22"/>
        </w:rPr>
        <w:t>VALIDATION RCCI</w:t>
      </w:r>
    </w:p>
    <w:p w14:paraId="48300CBD" w14:textId="5A9B05CF" w:rsidR="002A201A" w:rsidRDefault="002A201A" w:rsidP="004D1810">
      <w:pPr>
        <w:ind w:left="708" w:firstLine="708"/>
        <w:rPr>
          <w:rFonts w:ascii="Calibri" w:hAnsi="Calibri" w:cs="Arial"/>
          <w:sz w:val="22"/>
          <w:szCs w:val="22"/>
        </w:rPr>
      </w:pPr>
      <w:r>
        <w:rPr>
          <w:rFonts w:ascii="Calibri" w:hAnsi="Calibri" w:cs="Arial"/>
          <w:sz w:val="22"/>
          <w:szCs w:val="22"/>
        </w:rPr>
        <w:t>Jérôme MAGNIN</w:t>
      </w:r>
    </w:p>
    <w:p w14:paraId="5279D386" w14:textId="77777777" w:rsidR="004D1810" w:rsidRPr="004D1810" w:rsidRDefault="004D1810" w:rsidP="004D1810">
      <w:pPr>
        <w:ind w:left="708" w:firstLine="708"/>
        <w:rPr>
          <w:rFonts w:ascii="Calibri" w:hAnsi="Calibri" w:cs="Arial"/>
          <w:sz w:val="22"/>
          <w:szCs w:val="22"/>
        </w:rPr>
      </w:pPr>
    </w:p>
    <w:p w14:paraId="76657743" w14:textId="77777777" w:rsidR="002A201A" w:rsidRPr="00B64CC0" w:rsidRDefault="002A201A" w:rsidP="002A201A">
      <w:pPr>
        <w:rPr>
          <w:rFonts w:ascii="Arial" w:hAnsi="Arial" w:cs="Arial"/>
          <w:b/>
          <w:sz w:val="22"/>
          <w:szCs w:val="22"/>
          <w:u w:val="single"/>
        </w:rPr>
      </w:pPr>
      <w:r>
        <w:rPr>
          <w:rFonts w:ascii="Arial" w:hAnsi="Arial" w:cs="Arial"/>
          <w:b/>
          <w:sz w:val="22"/>
          <w:szCs w:val="22"/>
          <w:u w:val="single"/>
        </w:rPr>
        <w:t>Annexe 1</w:t>
      </w:r>
      <w:r w:rsidRPr="00B64CC0">
        <w:rPr>
          <w:rFonts w:ascii="Arial" w:hAnsi="Arial" w:cs="Arial"/>
          <w:b/>
          <w:sz w:val="22"/>
          <w:szCs w:val="22"/>
          <w:u w:val="single"/>
        </w:rPr>
        <w:t xml:space="preserve"> : </w:t>
      </w:r>
    </w:p>
    <w:p w14:paraId="2D9D45EB" w14:textId="77777777" w:rsidR="002A201A" w:rsidRPr="00A350A7" w:rsidRDefault="002A201A" w:rsidP="002A201A">
      <w:pPr>
        <w:rPr>
          <w:rFonts w:ascii="Calibri" w:hAnsi="Calibri" w:cs="Arial"/>
          <w:sz w:val="22"/>
          <w:szCs w:val="22"/>
        </w:rPr>
      </w:pPr>
    </w:p>
    <w:p w14:paraId="05901686" w14:textId="77777777" w:rsidR="002A201A" w:rsidRPr="00A350A7" w:rsidRDefault="001E588A" w:rsidP="00CD3536">
      <w:pPr>
        <w:ind w:left="-426"/>
        <w:rPr>
          <w:rFonts w:ascii="Calibri" w:hAnsi="Calibri" w:cs="Arial"/>
          <w:sz w:val="22"/>
          <w:szCs w:val="22"/>
        </w:rPr>
      </w:pPr>
      <w:r w:rsidRPr="001E588A">
        <w:rPr>
          <w:noProof/>
        </w:rPr>
        <w:drawing>
          <wp:inline distT="0" distB="0" distL="0" distR="0" wp14:anchorId="2BCBC2CC" wp14:editId="42FCC894">
            <wp:extent cx="6180381" cy="4925683"/>
            <wp:effectExtent l="0" t="0" r="0" b="889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6436" cy="4930509"/>
                    </a:xfrm>
                    <a:prstGeom prst="rect">
                      <a:avLst/>
                    </a:prstGeom>
                    <a:noFill/>
                    <a:ln>
                      <a:noFill/>
                    </a:ln>
                  </pic:spPr>
                </pic:pic>
              </a:graphicData>
            </a:graphic>
          </wp:inline>
        </w:drawing>
      </w:r>
    </w:p>
    <w:p w14:paraId="03BCD778" w14:textId="77777777" w:rsidR="002A201A" w:rsidRDefault="002A201A" w:rsidP="002A201A">
      <w:pPr>
        <w:ind w:left="708" w:firstLine="708"/>
        <w:rPr>
          <w:rFonts w:ascii="Calibri" w:hAnsi="Calibri" w:cs="Arial"/>
          <w:sz w:val="22"/>
          <w:szCs w:val="22"/>
        </w:rPr>
      </w:pPr>
    </w:p>
    <w:p w14:paraId="7EA2C053" w14:textId="77777777" w:rsidR="002A201A" w:rsidRPr="00643B3D" w:rsidRDefault="002A201A" w:rsidP="002C55BC">
      <w:pPr>
        <w:jc w:val="both"/>
        <w:rPr>
          <w:rFonts w:ascii="Arial" w:hAnsi="Arial" w:cs="Arial"/>
          <w:sz w:val="20"/>
          <w:szCs w:val="20"/>
        </w:rPr>
      </w:pPr>
    </w:p>
    <w:p w14:paraId="44B93706" w14:textId="77777777" w:rsidR="002C55BC" w:rsidRPr="00643B3D" w:rsidRDefault="002C55BC" w:rsidP="002C55BC">
      <w:pPr>
        <w:jc w:val="both"/>
        <w:rPr>
          <w:rFonts w:ascii="Arial" w:hAnsi="Arial" w:cs="Arial"/>
          <w:sz w:val="20"/>
          <w:szCs w:val="20"/>
        </w:rPr>
      </w:pPr>
    </w:p>
    <w:p w14:paraId="1080B939" w14:textId="77777777" w:rsidR="002C55BC" w:rsidRPr="008E6A03" w:rsidRDefault="002C55BC" w:rsidP="008C76D9">
      <w:pPr>
        <w:rPr>
          <w:rFonts w:ascii="Arial" w:hAnsi="Arial" w:cs="Arial"/>
          <w:sz w:val="20"/>
          <w:szCs w:val="20"/>
        </w:rPr>
      </w:pPr>
    </w:p>
    <w:sectPr w:rsidR="002C55BC" w:rsidRPr="008E6A0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C8872" w14:textId="77777777" w:rsidR="00E14D20" w:rsidRDefault="00E14D20" w:rsidP="00E14D20">
      <w:r>
        <w:separator/>
      </w:r>
    </w:p>
  </w:endnote>
  <w:endnote w:type="continuationSeparator" w:id="0">
    <w:p w14:paraId="6700DD11" w14:textId="77777777" w:rsidR="00E14D20" w:rsidRDefault="00E14D20" w:rsidP="00E14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B1FAF" w14:textId="77777777" w:rsidR="00E14D20" w:rsidRDefault="00E14D20" w:rsidP="00E14D20">
      <w:r>
        <w:separator/>
      </w:r>
    </w:p>
  </w:footnote>
  <w:footnote w:type="continuationSeparator" w:id="0">
    <w:p w14:paraId="76ECC0F1" w14:textId="77777777" w:rsidR="00E14D20" w:rsidRDefault="00E14D20" w:rsidP="00E14D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0A4D36"/>
    <w:multiLevelType w:val="hybridMultilevel"/>
    <w:tmpl w:val="C3564D0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2BA6A38"/>
    <w:multiLevelType w:val="hybridMultilevel"/>
    <w:tmpl w:val="CCA0C16C"/>
    <w:lvl w:ilvl="0" w:tplc="9BB4C84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B4819C0"/>
    <w:multiLevelType w:val="hybridMultilevel"/>
    <w:tmpl w:val="D0FCEDAC"/>
    <w:lvl w:ilvl="0" w:tplc="F5EAAFC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9D35694"/>
    <w:multiLevelType w:val="hybridMultilevel"/>
    <w:tmpl w:val="7F788B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B51289D"/>
    <w:multiLevelType w:val="hybridMultilevel"/>
    <w:tmpl w:val="A1F26A2E"/>
    <w:lvl w:ilvl="0" w:tplc="040C0001">
      <w:start w:val="1"/>
      <w:numFmt w:val="bullet"/>
      <w:lvlText w:val=""/>
      <w:lvlJc w:val="left"/>
      <w:pPr>
        <w:tabs>
          <w:tab w:val="num" w:pos="720"/>
        </w:tabs>
        <w:ind w:left="720" w:hanging="360"/>
      </w:pPr>
      <w:rPr>
        <w:rFonts w:ascii="Symbol" w:hAnsi="Symbol" w:hint="default"/>
      </w:rPr>
    </w:lvl>
    <w:lvl w:ilvl="1" w:tplc="040C000F">
      <w:start w:val="1"/>
      <w:numFmt w:val="decimal"/>
      <w:lvlText w:val="%2."/>
      <w:lvlJc w:val="left"/>
      <w:pPr>
        <w:tabs>
          <w:tab w:val="num" w:pos="1440"/>
        </w:tabs>
        <w:ind w:left="1440" w:hanging="360"/>
      </w:pPr>
      <w:rPr>
        <w:rFonts w:hint="default"/>
      </w:rPr>
    </w:lvl>
    <w:lvl w:ilvl="2" w:tplc="040C0005">
      <w:start w:val="1"/>
      <w:numFmt w:val="bullet"/>
      <w:lvlText w:val=""/>
      <w:lvlJc w:val="left"/>
      <w:pPr>
        <w:tabs>
          <w:tab w:val="num" w:pos="2160"/>
        </w:tabs>
        <w:ind w:left="2160" w:hanging="360"/>
      </w:pPr>
      <w:rPr>
        <w:rFonts w:ascii="Wingdings" w:hAnsi="Wingdings" w:hint="default"/>
      </w:rPr>
    </w:lvl>
    <w:lvl w:ilvl="3" w:tplc="040C000F">
      <w:start w:val="1"/>
      <w:numFmt w:val="decimal"/>
      <w:lvlText w:val="%4."/>
      <w:lvlJc w:val="left"/>
      <w:pPr>
        <w:tabs>
          <w:tab w:val="num" w:pos="2880"/>
        </w:tabs>
        <w:ind w:left="2880" w:hanging="360"/>
      </w:pPr>
      <w:rPr>
        <w:rFonts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295213457">
    <w:abstractNumId w:val="4"/>
  </w:num>
  <w:num w:numId="2" w16cid:durableId="695348344">
    <w:abstractNumId w:val="0"/>
  </w:num>
  <w:num w:numId="3" w16cid:durableId="1534226280">
    <w:abstractNumId w:val="2"/>
  </w:num>
  <w:num w:numId="4" w16cid:durableId="1263566214">
    <w:abstractNumId w:val="3"/>
  </w:num>
  <w:num w:numId="5" w16cid:durableId="6784607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434"/>
    <w:rsid w:val="000036B8"/>
    <w:rsid w:val="000168D5"/>
    <w:rsid w:val="000554C4"/>
    <w:rsid w:val="00072434"/>
    <w:rsid w:val="00083EA8"/>
    <w:rsid w:val="00094FFD"/>
    <w:rsid w:val="00095062"/>
    <w:rsid w:val="000A24F8"/>
    <w:rsid w:val="000A4F5C"/>
    <w:rsid w:val="000B2F84"/>
    <w:rsid w:val="000E3CCF"/>
    <w:rsid w:val="000F17BA"/>
    <w:rsid w:val="00115A18"/>
    <w:rsid w:val="00115B0A"/>
    <w:rsid w:val="00151FF9"/>
    <w:rsid w:val="0015229D"/>
    <w:rsid w:val="001568B6"/>
    <w:rsid w:val="0016147A"/>
    <w:rsid w:val="0017770B"/>
    <w:rsid w:val="00182425"/>
    <w:rsid w:val="001975C2"/>
    <w:rsid w:val="001A3C3E"/>
    <w:rsid w:val="001C20BE"/>
    <w:rsid w:val="001C480B"/>
    <w:rsid w:val="001D489A"/>
    <w:rsid w:val="001E588A"/>
    <w:rsid w:val="001E750D"/>
    <w:rsid w:val="001F081F"/>
    <w:rsid w:val="00257720"/>
    <w:rsid w:val="002868BE"/>
    <w:rsid w:val="0028704B"/>
    <w:rsid w:val="002A201A"/>
    <w:rsid w:val="002A240F"/>
    <w:rsid w:val="002A769F"/>
    <w:rsid w:val="002C1662"/>
    <w:rsid w:val="002C4DDB"/>
    <w:rsid w:val="002C55BC"/>
    <w:rsid w:val="002C618B"/>
    <w:rsid w:val="002F09E2"/>
    <w:rsid w:val="002F2BB7"/>
    <w:rsid w:val="003114DD"/>
    <w:rsid w:val="003179E8"/>
    <w:rsid w:val="0032456B"/>
    <w:rsid w:val="00335EA6"/>
    <w:rsid w:val="003706C0"/>
    <w:rsid w:val="00370F9A"/>
    <w:rsid w:val="003747DD"/>
    <w:rsid w:val="0039234D"/>
    <w:rsid w:val="00393C16"/>
    <w:rsid w:val="003B4A71"/>
    <w:rsid w:val="003C0D71"/>
    <w:rsid w:val="003C43D1"/>
    <w:rsid w:val="003D4F82"/>
    <w:rsid w:val="003E0B37"/>
    <w:rsid w:val="003E3043"/>
    <w:rsid w:val="003E6AC7"/>
    <w:rsid w:val="003E7C47"/>
    <w:rsid w:val="00425FA7"/>
    <w:rsid w:val="00433FD7"/>
    <w:rsid w:val="00485297"/>
    <w:rsid w:val="004856BF"/>
    <w:rsid w:val="00486117"/>
    <w:rsid w:val="004C7DA7"/>
    <w:rsid w:val="004D1810"/>
    <w:rsid w:val="00555DC4"/>
    <w:rsid w:val="00556BD7"/>
    <w:rsid w:val="005C781C"/>
    <w:rsid w:val="005D6F48"/>
    <w:rsid w:val="0061465C"/>
    <w:rsid w:val="00631FB7"/>
    <w:rsid w:val="006355AF"/>
    <w:rsid w:val="00635749"/>
    <w:rsid w:val="00645C78"/>
    <w:rsid w:val="006542E9"/>
    <w:rsid w:val="00656E76"/>
    <w:rsid w:val="00680E58"/>
    <w:rsid w:val="006A0D1D"/>
    <w:rsid w:val="006B2D4A"/>
    <w:rsid w:val="006D717C"/>
    <w:rsid w:val="00722426"/>
    <w:rsid w:val="00725475"/>
    <w:rsid w:val="00741102"/>
    <w:rsid w:val="0076382B"/>
    <w:rsid w:val="00766AE9"/>
    <w:rsid w:val="00786CD1"/>
    <w:rsid w:val="007B0B1F"/>
    <w:rsid w:val="007C67A1"/>
    <w:rsid w:val="007E7CE0"/>
    <w:rsid w:val="007F25BC"/>
    <w:rsid w:val="00813B18"/>
    <w:rsid w:val="00823E21"/>
    <w:rsid w:val="00866154"/>
    <w:rsid w:val="00877E03"/>
    <w:rsid w:val="0088589F"/>
    <w:rsid w:val="008B6AB2"/>
    <w:rsid w:val="008C76D9"/>
    <w:rsid w:val="008E6A03"/>
    <w:rsid w:val="008F1150"/>
    <w:rsid w:val="0090717D"/>
    <w:rsid w:val="009135A7"/>
    <w:rsid w:val="00915859"/>
    <w:rsid w:val="00916B8C"/>
    <w:rsid w:val="00931637"/>
    <w:rsid w:val="009412AD"/>
    <w:rsid w:val="00944009"/>
    <w:rsid w:val="009640AF"/>
    <w:rsid w:val="009648F6"/>
    <w:rsid w:val="0098638F"/>
    <w:rsid w:val="009A16D2"/>
    <w:rsid w:val="009A4BB8"/>
    <w:rsid w:val="009B04E3"/>
    <w:rsid w:val="009C1DEC"/>
    <w:rsid w:val="009C6CD8"/>
    <w:rsid w:val="009D6424"/>
    <w:rsid w:val="00A11458"/>
    <w:rsid w:val="00A157F4"/>
    <w:rsid w:val="00A475ED"/>
    <w:rsid w:val="00A55F6F"/>
    <w:rsid w:val="00A57D3D"/>
    <w:rsid w:val="00A661C1"/>
    <w:rsid w:val="00A90998"/>
    <w:rsid w:val="00A96518"/>
    <w:rsid w:val="00AD1AEC"/>
    <w:rsid w:val="00AD1B28"/>
    <w:rsid w:val="00AE5E07"/>
    <w:rsid w:val="00AF18C0"/>
    <w:rsid w:val="00B323F1"/>
    <w:rsid w:val="00B46011"/>
    <w:rsid w:val="00BA376A"/>
    <w:rsid w:val="00BC5F44"/>
    <w:rsid w:val="00BF5559"/>
    <w:rsid w:val="00C2545A"/>
    <w:rsid w:val="00C35E9B"/>
    <w:rsid w:val="00C528FA"/>
    <w:rsid w:val="00C7146A"/>
    <w:rsid w:val="00C82E36"/>
    <w:rsid w:val="00C85325"/>
    <w:rsid w:val="00C85AD5"/>
    <w:rsid w:val="00CC4743"/>
    <w:rsid w:val="00CC630A"/>
    <w:rsid w:val="00CD3536"/>
    <w:rsid w:val="00D16CBD"/>
    <w:rsid w:val="00D6621B"/>
    <w:rsid w:val="00D7650A"/>
    <w:rsid w:val="00E02A75"/>
    <w:rsid w:val="00E05FAA"/>
    <w:rsid w:val="00E14D20"/>
    <w:rsid w:val="00E20FDF"/>
    <w:rsid w:val="00E21144"/>
    <w:rsid w:val="00E23E92"/>
    <w:rsid w:val="00E342B2"/>
    <w:rsid w:val="00E4787A"/>
    <w:rsid w:val="00E57059"/>
    <w:rsid w:val="00EC2A53"/>
    <w:rsid w:val="00F6495D"/>
    <w:rsid w:val="00F803F6"/>
    <w:rsid w:val="00F82AE2"/>
    <w:rsid w:val="00F86864"/>
    <w:rsid w:val="00FA58DA"/>
    <w:rsid w:val="00FA6882"/>
    <w:rsid w:val="00FF21D9"/>
    <w:rsid w:val="00FF75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45A88"/>
  <w15:docId w15:val="{E6532D29-B22D-4123-92A0-F902F5A15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434"/>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21144"/>
    <w:pPr>
      <w:ind w:left="708"/>
    </w:pPr>
  </w:style>
  <w:style w:type="paragraph" w:styleId="Textedebulles">
    <w:name w:val="Balloon Text"/>
    <w:basedOn w:val="Normal"/>
    <w:link w:val="TextedebullesCar"/>
    <w:uiPriority w:val="99"/>
    <w:semiHidden/>
    <w:unhideWhenUsed/>
    <w:rsid w:val="008C76D9"/>
    <w:rPr>
      <w:rFonts w:ascii="Segoe UI" w:hAnsi="Segoe UI" w:cs="Segoe UI"/>
      <w:sz w:val="18"/>
      <w:szCs w:val="18"/>
    </w:rPr>
  </w:style>
  <w:style w:type="character" w:customStyle="1" w:styleId="TextedebullesCar">
    <w:name w:val="Texte de bulles Car"/>
    <w:basedOn w:val="Policepardfaut"/>
    <w:link w:val="Textedebulles"/>
    <w:uiPriority w:val="99"/>
    <w:semiHidden/>
    <w:rsid w:val="008C76D9"/>
    <w:rPr>
      <w:rFonts w:ascii="Segoe UI" w:eastAsia="Times New Roman" w:hAnsi="Segoe UI" w:cs="Segoe UI"/>
      <w:sz w:val="18"/>
      <w:szCs w:val="18"/>
      <w:lang w:eastAsia="fr-FR"/>
    </w:rPr>
  </w:style>
  <w:style w:type="paragraph" w:styleId="En-tte">
    <w:name w:val="header"/>
    <w:basedOn w:val="Normal"/>
    <w:link w:val="En-tteCar"/>
    <w:uiPriority w:val="99"/>
    <w:unhideWhenUsed/>
    <w:rsid w:val="00E14D20"/>
    <w:pPr>
      <w:tabs>
        <w:tab w:val="center" w:pos="4536"/>
        <w:tab w:val="right" w:pos="9072"/>
      </w:tabs>
    </w:pPr>
  </w:style>
  <w:style w:type="character" w:customStyle="1" w:styleId="En-tteCar">
    <w:name w:val="En-tête Car"/>
    <w:basedOn w:val="Policepardfaut"/>
    <w:link w:val="En-tte"/>
    <w:uiPriority w:val="99"/>
    <w:rsid w:val="00E14D20"/>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E14D20"/>
    <w:pPr>
      <w:tabs>
        <w:tab w:val="center" w:pos="4536"/>
        <w:tab w:val="right" w:pos="9072"/>
      </w:tabs>
    </w:pPr>
  </w:style>
  <w:style w:type="character" w:customStyle="1" w:styleId="PieddepageCar">
    <w:name w:val="Pied de page Car"/>
    <w:basedOn w:val="Policepardfaut"/>
    <w:link w:val="Pieddepage"/>
    <w:uiPriority w:val="99"/>
    <w:rsid w:val="00E14D20"/>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292130">
      <w:bodyDiv w:val="1"/>
      <w:marLeft w:val="0"/>
      <w:marRight w:val="0"/>
      <w:marTop w:val="0"/>
      <w:marBottom w:val="0"/>
      <w:divBdr>
        <w:top w:val="none" w:sz="0" w:space="0" w:color="auto"/>
        <w:left w:val="none" w:sz="0" w:space="0" w:color="auto"/>
        <w:bottom w:val="none" w:sz="0" w:space="0" w:color="auto"/>
        <w:right w:val="none" w:sz="0" w:space="0" w:color="auto"/>
      </w:divBdr>
    </w:div>
    <w:div w:id="341513165">
      <w:bodyDiv w:val="1"/>
      <w:marLeft w:val="0"/>
      <w:marRight w:val="0"/>
      <w:marTop w:val="0"/>
      <w:marBottom w:val="0"/>
      <w:divBdr>
        <w:top w:val="none" w:sz="0" w:space="0" w:color="auto"/>
        <w:left w:val="none" w:sz="0" w:space="0" w:color="auto"/>
        <w:bottom w:val="none" w:sz="0" w:space="0" w:color="auto"/>
        <w:right w:val="none" w:sz="0" w:space="0" w:color="auto"/>
      </w:divBdr>
    </w:div>
    <w:div w:id="445469609">
      <w:bodyDiv w:val="1"/>
      <w:marLeft w:val="0"/>
      <w:marRight w:val="0"/>
      <w:marTop w:val="0"/>
      <w:marBottom w:val="0"/>
      <w:divBdr>
        <w:top w:val="none" w:sz="0" w:space="0" w:color="auto"/>
        <w:left w:val="none" w:sz="0" w:space="0" w:color="auto"/>
        <w:bottom w:val="none" w:sz="0" w:space="0" w:color="auto"/>
        <w:right w:val="none" w:sz="0" w:space="0" w:color="auto"/>
      </w:divBdr>
    </w:div>
    <w:div w:id="727191920">
      <w:bodyDiv w:val="1"/>
      <w:marLeft w:val="0"/>
      <w:marRight w:val="0"/>
      <w:marTop w:val="0"/>
      <w:marBottom w:val="0"/>
      <w:divBdr>
        <w:top w:val="none" w:sz="0" w:space="0" w:color="auto"/>
        <w:left w:val="none" w:sz="0" w:space="0" w:color="auto"/>
        <w:bottom w:val="none" w:sz="0" w:space="0" w:color="auto"/>
        <w:right w:val="none" w:sz="0" w:space="0" w:color="auto"/>
      </w:divBdr>
    </w:div>
    <w:div w:id="727847806">
      <w:bodyDiv w:val="1"/>
      <w:marLeft w:val="0"/>
      <w:marRight w:val="0"/>
      <w:marTop w:val="0"/>
      <w:marBottom w:val="0"/>
      <w:divBdr>
        <w:top w:val="none" w:sz="0" w:space="0" w:color="auto"/>
        <w:left w:val="none" w:sz="0" w:space="0" w:color="auto"/>
        <w:bottom w:val="none" w:sz="0" w:space="0" w:color="auto"/>
        <w:right w:val="none" w:sz="0" w:space="0" w:color="auto"/>
      </w:divBdr>
    </w:div>
    <w:div w:id="873272220">
      <w:bodyDiv w:val="1"/>
      <w:marLeft w:val="0"/>
      <w:marRight w:val="0"/>
      <w:marTop w:val="0"/>
      <w:marBottom w:val="0"/>
      <w:divBdr>
        <w:top w:val="none" w:sz="0" w:space="0" w:color="auto"/>
        <w:left w:val="none" w:sz="0" w:space="0" w:color="auto"/>
        <w:bottom w:val="none" w:sz="0" w:space="0" w:color="auto"/>
        <w:right w:val="none" w:sz="0" w:space="0" w:color="auto"/>
      </w:divBdr>
    </w:div>
    <w:div w:id="1034689888">
      <w:bodyDiv w:val="1"/>
      <w:marLeft w:val="0"/>
      <w:marRight w:val="0"/>
      <w:marTop w:val="0"/>
      <w:marBottom w:val="0"/>
      <w:divBdr>
        <w:top w:val="none" w:sz="0" w:space="0" w:color="auto"/>
        <w:left w:val="none" w:sz="0" w:space="0" w:color="auto"/>
        <w:bottom w:val="none" w:sz="0" w:space="0" w:color="auto"/>
        <w:right w:val="none" w:sz="0" w:space="0" w:color="auto"/>
      </w:divBdr>
    </w:div>
    <w:div w:id="2073193701">
      <w:bodyDiv w:val="1"/>
      <w:marLeft w:val="0"/>
      <w:marRight w:val="0"/>
      <w:marTop w:val="0"/>
      <w:marBottom w:val="0"/>
      <w:divBdr>
        <w:top w:val="none" w:sz="0" w:space="0" w:color="auto"/>
        <w:left w:val="none" w:sz="0" w:space="0" w:color="auto"/>
        <w:bottom w:val="none" w:sz="0" w:space="0" w:color="auto"/>
        <w:right w:val="none" w:sz="0" w:space="0" w:color="auto"/>
      </w:divBdr>
    </w:div>
    <w:div w:id="208452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1231</Words>
  <Characters>6776</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Edouard RICHARD</dc:creator>
  <cp:keywords/>
  <dc:description/>
  <cp:lastModifiedBy>Antoine DU RÉAU</cp:lastModifiedBy>
  <cp:revision>26</cp:revision>
  <cp:lastPrinted>2019-05-23T10:29:00Z</cp:lastPrinted>
  <dcterms:created xsi:type="dcterms:W3CDTF">2021-04-26T14:26:00Z</dcterms:created>
  <dcterms:modified xsi:type="dcterms:W3CDTF">2025-03-10T14:01:00Z</dcterms:modified>
</cp:coreProperties>
</file>